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7F3E" w14:textId="1CFF2141" w:rsidR="001C2189" w:rsidRPr="005A1AA0" w:rsidRDefault="001C2189" w:rsidP="001C2189">
      <w:pPr>
        <w:pStyle w:val="Telobesedila1"/>
        <w:spacing w:line="240" w:lineRule="auto"/>
        <w:ind w:left="142"/>
        <w:rPr>
          <w:rFonts w:cs="Arial"/>
          <w:sz w:val="20"/>
          <w:szCs w:val="20"/>
        </w:rPr>
      </w:pPr>
      <w:bookmarkStart w:id="0" w:name="_Hlk188430189"/>
      <w:bookmarkEnd w:id="0"/>
      <w:r w:rsidRPr="005A1AA0">
        <w:rPr>
          <w:rFonts w:cs="Arial"/>
          <w:sz w:val="20"/>
          <w:szCs w:val="20"/>
        </w:rPr>
        <w:t xml:space="preserve">Ljubljana, </w:t>
      </w:r>
      <w:r w:rsidR="00A4173B">
        <w:rPr>
          <w:rFonts w:cs="Arial"/>
          <w:sz w:val="20"/>
          <w:szCs w:val="20"/>
        </w:rPr>
        <w:t>2</w:t>
      </w:r>
      <w:r w:rsidR="000E6E9C">
        <w:rPr>
          <w:rFonts w:cs="Arial"/>
          <w:sz w:val="20"/>
          <w:szCs w:val="20"/>
        </w:rPr>
        <w:t>2</w:t>
      </w:r>
      <w:r w:rsidRPr="005A1AA0">
        <w:rPr>
          <w:rFonts w:cs="Arial"/>
          <w:sz w:val="20"/>
          <w:szCs w:val="20"/>
        </w:rPr>
        <w:t>.</w:t>
      </w:r>
      <w:r>
        <w:rPr>
          <w:rFonts w:cs="Arial"/>
          <w:sz w:val="20"/>
          <w:szCs w:val="20"/>
        </w:rPr>
        <w:t xml:space="preserve"> </w:t>
      </w:r>
      <w:r w:rsidRPr="005A1AA0">
        <w:rPr>
          <w:rFonts w:cs="Arial"/>
          <w:sz w:val="20"/>
          <w:szCs w:val="20"/>
        </w:rPr>
        <w:t>1.</w:t>
      </w:r>
      <w:r>
        <w:rPr>
          <w:rFonts w:cs="Arial"/>
          <w:sz w:val="20"/>
          <w:szCs w:val="20"/>
        </w:rPr>
        <w:t xml:space="preserve"> </w:t>
      </w:r>
      <w:r w:rsidRPr="005A1AA0">
        <w:rPr>
          <w:rFonts w:cs="Arial"/>
          <w:sz w:val="20"/>
          <w:szCs w:val="20"/>
        </w:rPr>
        <w:t>20</w:t>
      </w:r>
      <w:r>
        <w:rPr>
          <w:rFonts w:cs="Arial"/>
          <w:sz w:val="20"/>
          <w:szCs w:val="20"/>
        </w:rPr>
        <w:t>2</w:t>
      </w:r>
      <w:r w:rsidR="00C35322">
        <w:rPr>
          <w:rFonts w:cs="Arial"/>
          <w:sz w:val="20"/>
          <w:szCs w:val="20"/>
        </w:rPr>
        <w:t>5</w:t>
      </w:r>
    </w:p>
    <w:p w14:paraId="619EDD06" w14:textId="77777777" w:rsidR="002647DD" w:rsidRDefault="002647DD" w:rsidP="00A240A2">
      <w:pPr>
        <w:pStyle w:val="Telobesedila"/>
        <w:spacing w:line="280" w:lineRule="exact"/>
        <w:jc w:val="center"/>
        <w:rPr>
          <w:rFonts w:asciiTheme="minorHAnsi" w:hAnsiTheme="minorHAnsi" w:cs="Arial"/>
          <w:b/>
          <w:color w:val="FF0000"/>
          <w:sz w:val="32"/>
          <w:szCs w:val="32"/>
        </w:rPr>
      </w:pPr>
    </w:p>
    <w:p w14:paraId="5AC41AB9" w14:textId="77777777" w:rsidR="00C35322" w:rsidRDefault="00C35322" w:rsidP="00FE476B">
      <w:pPr>
        <w:pStyle w:val="Telobesedila"/>
        <w:spacing w:line="240" w:lineRule="auto"/>
        <w:jc w:val="center"/>
        <w:rPr>
          <w:rFonts w:asciiTheme="minorHAnsi" w:hAnsiTheme="minorHAnsi" w:cs="Arial"/>
          <w:b/>
          <w:sz w:val="32"/>
          <w:szCs w:val="32"/>
        </w:rPr>
      </w:pPr>
    </w:p>
    <w:p w14:paraId="5861C196" w14:textId="61CB9947" w:rsidR="000E6E9C" w:rsidRDefault="00A240A2" w:rsidP="00FE476B">
      <w:pPr>
        <w:pStyle w:val="Telobesedila"/>
        <w:spacing w:line="240" w:lineRule="auto"/>
        <w:jc w:val="center"/>
        <w:rPr>
          <w:rFonts w:asciiTheme="minorHAnsi" w:hAnsiTheme="minorHAnsi" w:cs="Arial"/>
          <w:b/>
          <w:sz w:val="32"/>
          <w:szCs w:val="32"/>
        </w:rPr>
      </w:pPr>
      <w:r w:rsidRPr="00BA0B09">
        <w:rPr>
          <w:rFonts w:asciiTheme="minorHAnsi" w:hAnsiTheme="minorHAnsi" w:cs="Arial"/>
          <w:b/>
          <w:sz w:val="32"/>
          <w:szCs w:val="32"/>
        </w:rPr>
        <w:t>ZZZS</w:t>
      </w:r>
      <w:r w:rsidR="00C02021" w:rsidRPr="00BA0B09">
        <w:rPr>
          <w:rFonts w:asciiTheme="minorHAnsi" w:hAnsiTheme="minorHAnsi" w:cs="Arial"/>
          <w:b/>
          <w:sz w:val="32"/>
          <w:szCs w:val="32"/>
        </w:rPr>
        <w:t xml:space="preserve"> v letu 20</w:t>
      </w:r>
      <w:r w:rsidR="002647DD" w:rsidRPr="00BA0B09">
        <w:rPr>
          <w:rFonts w:asciiTheme="minorHAnsi" w:hAnsiTheme="minorHAnsi" w:cs="Arial"/>
          <w:b/>
          <w:sz w:val="32"/>
          <w:szCs w:val="32"/>
        </w:rPr>
        <w:t>2</w:t>
      </w:r>
      <w:r w:rsidR="000E6E9C">
        <w:rPr>
          <w:rFonts w:asciiTheme="minorHAnsi" w:hAnsiTheme="minorHAnsi" w:cs="Arial"/>
          <w:b/>
          <w:sz w:val="32"/>
          <w:szCs w:val="32"/>
        </w:rPr>
        <w:t>4</w:t>
      </w:r>
      <w:r w:rsidRPr="00BA0B09">
        <w:rPr>
          <w:rFonts w:asciiTheme="minorHAnsi" w:hAnsiTheme="minorHAnsi" w:cs="Arial"/>
          <w:b/>
          <w:sz w:val="32"/>
          <w:szCs w:val="32"/>
        </w:rPr>
        <w:t xml:space="preserve"> </w:t>
      </w:r>
      <w:r w:rsidR="000E6E9C">
        <w:rPr>
          <w:rFonts w:asciiTheme="minorHAnsi" w:hAnsiTheme="minorHAnsi" w:cs="Arial"/>
          <w:b/>
          <w:sz w:val="32"/>
          <w:szCs w:val="32"/>
        </w:rPr>
        <w:t xml:space="preserve">ob ukinitvi dopolnilnega zdravstvenega zavarovanja </w:t>
      </w:r>
      <w:r w:rsidRPr="00BA0B09">
        <w:rPr>
          <w:rFonts w:asciiTheme="minorHAnsi" w:hAnsiTheme="minorHAnsi" w:cs="Arial"/>
          <w:b/>
          <w:sz w:val="32"/>
          <w:szCs w:val="32"/>
        </w:rPr>
        <w:t>zagotavljal nemoteno financiranje pravic</w:t>
      </w:r>
      <w:r w:rsidR="00FE476B">
        <w:rPr>
          <w:rFonts w:asciiTheme="minorHAnsi" w:hAnsiTheme="minorHAnsi" w:cs="Arial"/>
          <w:b/>
          <w:sz w:val="32"/>
          <w:szCs w:val="32"/>
        </w:rPr>
        <w:t xml:space="preserve"> </w:t>
      </w:r>
      <w:r w:rsidRPr="00BA0B09">
        <w:rPr>
          <w:rFonts w:asciiTheme="minorHAnsi" w:hAnsiTheme="minorHAnsi" w:cs="Arial"/>
          <w:b/>
          <w:sz w:val="32"/>
          <w:szCs w:val="32"/>
        </w:rPr>
        <w:t>iz obveznega zdravstvenega zavarovanja</w:t>
      </w:r>
    </w:p>
    <w:p w14:paraId="47DAB690" w14:textId="77777777" w:rsidR="000E6E9C" w:rsidRDefault="000E6E9C" w:rsidP="00FE476B">
      <w:pPr>
        <w:pStyle w:val="Telobesedila"/>
        <w:spacing w:line="240" w:lineRule="auto"/>
        <w:jc w:val="center"/>
        <w:rPr>
          <w:rFonts w:asciiTheme="minorHAnsi" w:hAnsiTheme="minorHAnsi" w:cs="Arial"/>
          <w:b/>
          <w:sz w:val="32"/>
          <w:szCs w:val="32"/>
        </w:rPr>
      </w:pPr>
    </w:p>
    <w:p w14:paraId="762C1BA4" w14:textId="77777777" w:rsidR="00C35322" w:rsidRDefault="000E6E9C" w:rsidP="000E6E9C">
      <w:pPr>
        <w:ind w:left="851" w:hanging="851"/>
        <w:jc w:val="center"/>
        <w:rPr>
          <w:rFonts w:asciiTheme="minorHAnsi" w:hAnsiTheme="minorHAnsi" w:cstheme="minorHAnsi"/>
          <w:b/>
          <w:sz w:val="28"/>
          <w:szCs w:val="28"/>
        </w:rPr>
      </w:pPr>
      <w:r w:rsidRPr="000E6E9C">
        <w:rPr>
          <w:rFonts w:asciiTheme="minorHAnsi" w:hAnsiTheme="minorHAnsi" w:cstheme="minorHAnsi"/>
          <w:b/>
          <w:sz w:val="28"/>
          <w:szCs w:val="28"/>
        </w:rPr>
        <w:t xml:space="preserve">Zaradi manjših odhodkov za zdravstvene storitve in zdravila </w:t>
      </w:r>
    </w:p>
    <w:p w14:paraId="251542F3" w14:textId="19E80C49" w:rsidR="000E6E9C" w:rsidRPr="000E6E9C" w:rsidRDefault="000E6E9C" w:rsidP="000E6E9C">
      <w:pPr>
        <w:ind w:left="851" w:hanging="851"/>
        <w:jc w:val="center"/>
        <w:rPr>
          <w:rFonts w:asciiTheme="minorHAnsi" w:hAnsiTheme="minorHAnsi" w:cstheme="minorHAnsi"/>
          <w:b/>
          <w:sz w:val="28"/>
          <w:szCs w:val="28"/>
        </w:rPr>
      </w:pPr>
      <w:r w:rsidRPr="000E6E9C">
        <w:rPr>
          <w:rFonts w:asciiTheme="minorHAnsi" w:hAnsiTheme="minorHAnsi" w:cstheme="minorHAnsi"/>
          <w:b/>
          <w:sz w:val="28"/>
          <w:szCs w:val="28"/>
        </w:rPr>
        <w:t xml:space="preserve">presežek prihodkov nad odhodki </w:t>
      </w:r>
    </w:p>
    <w:p w14:paraId="19D09152" w14:textId="77777777" w:rsidR="00A240A2" w:rsidRDefault="00A240A2" w:rsidP="00A240A2">
      <w:pPr>
        <w:pStyle w:val="Telobesedila"/>
        <w:spacing w:line="280" w:lineRule="exact"/>
        <w:jc w:val="center"/>
        <w:rPr>
          <w:rFonts w:asciiTheme="minorHAnsi" w:hAnsiTheme="minorHAnsi" w:cs="Arial"/>
          <w:b/>
          <w:color w:val="FF0000"/>
          <w:sz w:val="32"/>
          <w:szCs w:val="32"/>
        </w:rPr>
      </w:pPr>
    </w:p>
    <w:p w14:paraId="721B7442" w14:textId="77777777" w:rsidR="00C35322" w:rsidRDefault="00C35322" w:rsidP="00A240A2">
      <w:pPr>
        <w:pStyle w:val="Telobesedila"/>
        <w:spacing w:line="280" w:lineRule="exact"/>
        <w:jc w:val="center"/>
        <w:rPr>
          <w:rFonts w:asciiTheme="minorHAnsi" w:hAnsiTheme="minorHAnsi" w:cs="Arial"/>
          <w:b/>
          <w:color w:val="FF0000"/>
          <w:sz w:val="32"/>
          <w:szCs w:val="32"/>
        </w:rPr>
      </w:pPr>
    </w:p>
    <w:p w14:paraId="103824A9" w14:textId="4708DEE9" w:rsidR="00C02021" w:rsidRPr="0073792A" w:rsidRDefault="00C02021" w:rsidP="004135B1">
      <w:pPr>
        <w:pStyle w:val="Telobesedila1"/>
        <w:numPr>
          <w:ilvl w:val="0"/>
          <w:numId w:val="14"/>
        </w:numPr>
        <w:spacing w:line="240" w:lineRule="exact"/>
        <w:rPr>
          <w:rFonts w:ascii="Calibri" w:hAnsi="Calibri" w:cs="Arial"/>
          <w:b/>
        </w:rPr>
      </w:pPr>
      <w:r w:rsidRPr="0073792A">
        <w:rPr>
          <w:rFonts w:ascii="Calibri" w:hAnsi="Calibri" w:cs="Arial"/>
          <w:b/>
        </w:rPr>
        <w:t>Ocena finančnega poslovanja ZZZS v letu 20</w:t>
      </w:r>
      <w:r w:rsidR="00B605B3" w:rsidRPr="0073792A">
        <w:rPr>
          <w:rFonts w:ascii="Calibri" w:hAnsi="Calibri" w:cs="Arial"/>
          <w:b/>
        </w:rPr>
        <w:t>2</w:t>
      </w:r>
      <w:r w:rsidR="000E6E9C" w:rsidRPr="0073792A">
        <w:rPr>
          <w:rFonts w:ascii="Calibri" w:hAnsi="Calibri" w:cs="Arial"/>
          <w:b/>
        </w:rPr>
        <w:t>4</w:t>
      </w:r>
    </w:p>
    <w:p w14:paraId="237EBA77" w14:textId="77777777" w:rsidR="00B605B3" w:rsidRPr="0073792A" w:rsidRDefault="00B605B3" w:rsidP="004135B1">
      <w:pPr>
        <w:rPr>
          <w:rFonts w:cstheme="minorHAnsi"/>
        </w:rPr>
      </w:pPr>
    </w:p>
    <w:p w14:paraId="6D3D688A" w14:textId="77777777" w:rsidR="000E6E9C" w:rsidRPr="0073792A" w:rsidRDefault="000E6E9C" w:rsidP="00C35322">
      <w:pPr>
        <w:rPr>
          <w:rFonts w:cstheme="minorHAnsi"/>
        </w:rPr>
      </w:pPr>
      <w:r w:rsidRPr="0073792A">
        <w:rPr>
          <w:rFonts w:cstheme="minorHAnsi"/>
        </w:rPr>
        <w:t>Spremenjene razmere poslovanja tekom leta 2024 so odstopale od izhodišč, na katerih je temeljil Finančni načrt ZZZS za leto 2024, sprejet na Skupščini ZZZS januarja 2024. Te so predvsem posledica spremenjenih globalnih makroekonomskih izhodišč za leto 2024, finančnih učinkov nenačrtovanih ukrepov na področju plač in drugih stroškov dela (dvig plač v javnem sektorju s 1. 6. 2024), finančnih učinkov Uredbe o programih storitev obveznega zdravstvenega zavarovanja, zmogljivostih, potrebnih za njegovo izvajanje in obsegu sredstev za leto 2023 in 2024 (v nadaljevanju: Uredba), učinkov Zakona o nujnih ukrepih za zagotovitev stabilnosti zdravstvenega sistema, Zakona o interventnih ukrepih na področju zdravstva, dela in sociale ter z zdravstvom povezanih vsebin (v nadaljevanju: ZIUZDS), nižje realizacije programa zdravstvenih storitev (predvsem zaradi pomanjkanja kadrovskih virov in stavke zdravnikov, kljub</w:t>
      </w:r>
      <w:r w:rsidRPr="0073792A">
        <w:rPr>
          <w:rFonts w:cs="Calibri"/>
        </w:rPr>
        <w:t xml:space="preserve"> </w:t>
      </w:r>
      <w:r w:rsidRPr="0073792A">
        <w:rPr>
          <w:rFonts w:cstheme="minorHAnsi"/>
        </w:rPr>
        <w:t>spodbudam za skrajševanje čakalnih dob s širitvijo programov iz Uredbe) in višje pričakovane rasti od dejanske rasti odhodkov za zdravila. Finančni učinki sprememb so delovali v smeri povečanja in zmanjšanja odhodkov, ki so se v letu 2024 odrazili v manjšem presežku prihodkov nad odhodki.</w:t>
      </w:r>
    </w:p>
    <w:p w14:paraId="7DCAD986" w14:textId="77777777" w:rsidR="000E6E9C" w:rsidRPr="0073792A" w:rsidRDefault="000E6E9C" w:rsidP="00C35322">
      <w:pPr>
        <w:pStyle w:val="Telobesedila-zamik21"/>
        <w:spacing w:line="240" w:lineRule="exact"/>
        <w:ind w:firstLine="0"/>
        <w:rPr>
          <w:rFonts w:ascii="Calibri" w:hAnsi="Calibri" w:cstheme="minorHAnsi"/>
          <w:szCs w:val="22"/>
        </w:rPr>
      </w:pPr>
    </w:p>
    <w:p w14:paraId="67E078F5" w14:textId="5FE20AF2" w:rsidR="000E6E9C" w:rsidRPr="0073792A" w:rsidRDefault="000E6E9C" w:rsidP="00C35322">
      <w:pPr>
        <w:pStyle w:val="Telobesedila-zamik21"/>
        <w:spacing w:line="240" w:lineRule="exact"/>
        <w:ind w:firstLine="0"/>
        <w:rPr>
          <w:rFonts w:ascii="Calibri" w:hAnsi="Calibri" w:cstheme="minorHAnsi"/>
          <w:szCs w:val="22"/>
        </w:rPr>
      </w:pPr>
      <w:r w:rsidRPr="0073792A">
        <w:rPr>
          <w:rFonts w:ascii="Calibri" w:hAnsi="Calibri" w:cstheme="minorHAnsi"/>
          <w:szCs w:val="22"/>
        </w:rPr>
        <w:t xml:space="preserve">Prva ocena finančnega poslovanja ZZZS </w:t>
      </w:r>
      <w:r w:rsidRPr="0073792A">
        <w:rPr>
          <w:rFonts w:ascii="Calibri" w:hAnsi="Calibri" w:cstheme="minorHAnsi"/>
          <w:b/>
          <w:bCs/>
          <w:szCs w:val="22"/>
        </w:rPr>
        <w:t>v letu 2024 izkazuje presežek prihodkov nad odhodki v višini 79,1 milijona evrov, kar predstavlja 1,5% vseh prihodkov</w:t>
      </w:r>
      <w:r w:rsidRPr="0073792A">
        <w:rPr>
          <w:rFonts w:ascii="Calibri" w:hAnsi="Calibri" w:cstheme="minorHAnsi"/>
          <w:szCs w:val="22"/>
        </w:rPr>
        <w:t>.</w:t>
      </w:r>
      <w:r w:rsidRPr="0073792A">
        <w:rPr>
          <w:rFonts w:ascii="Calibri" w:hAnsi="Calibri" w:cstheme="minorHAnsi"/>
          <w:b/>
          <w:bCs/>
          <w:szCs w:val="22"/>
        </w:rPr>
        <w:t xml:space="preserve"> Prihodki so realizirani v višini 5.333,5 milijona evrov </w:t>
      </w:r>
      <w:r w:rsidRPr="0073792A">
        <w:rPr>
          <w:rFonts w:ascii="Calibri" w:hAnsi="Calibri" w:cstheme="minorHAnsi"/>
          <w:szCs w:val="22"/>
        </w:rPr>
        <w:t>in so v okviru načrtovanih (9,7 milijona evrov manjši)</w:t>
      </w:r>
      <w:r w:rsidRPr="0073792A">
        <w:rPr>
          <w:rFonts w:ascii="Calibri" w:hAnsi="Calibri" w:cstheme="minorHAnsi"/>
          <w:b/>
          <w:bCs/>
          <w:szCs w:val="22"/>
        </w:rPr>
        <w:t>. Odhodki so realizirani v višini 5.254,4 milijona evrov</w:t>
      </w:r>
      <w:r w:rsidRPr="0073792A">
        <w:rPr>
          <w:rFonts w:ascii="Calibri" w:hAnsi="Calibri" w:cstheme="minorHAnsi"/>
          <w:szCs w:val="22"/>
        </w:rPr>
        <w:t xml:space="preserve">, so za 1,7 % ali za 88,8 milijona evrov pod načrtovanimi in so </w:t>
      </w:r>
      <w:r w:rsidRPr="0073792A">
        <w:rPr>
          <w:rFonts w:ascii="Calibri" w:hAnsi="Calibri" w:cstheme="minorHAnsi"/>
          <w:snapToGrid w:val="0"/>
          <w:color w:val="000000"/>
        </w:rPr>
        <w:t>v okviru najvišjega možnega obsega izdatkov za zdravstveno blagajno za leto 2024, ki po Odloku o okviru za pripravo proračunov sektorja država za obdobje 2024-2026 znaša 5.350 milijonov evrov</w:t>
      </w:r>
      <w:r w:rsidRPr="0073792A">
        <w:rPr>
          <w:rFonts w:ascii="Calibri" w:hAnsi="Calibri" w:cstheme="minorHAnsi"/>
          <w:szCs w:val="22"/>
        </w:rPr>
        <w:t xml:space="preserve">.  </w:t>
      </w:r>
    </w:p>
    <w:p w14:paraId="298D2E8A" w14:textId="77777777" w:rsidR="000E6E9C" w:rsidRPr="0073792A" w:rsidRDefault="000E6E9C" w:rsidP="00C35322">
      <w:pPr>
        <w:pStyle w:val="Telobesedila-zamik21"/>
        <w:spacing w:line="240" w:lineRule="exact"/>
        <w:ind w:firstLine="0"/>
        <w:rPr>
          <w:rFonts w:ascii="Calibri" w:hAnsi="Calibri" w:cstheme="minorHAnsi"/>
          <w:szCs w:val="22"/>
        </w:rPr>
      </w:pPr>
    </w:p>
    <w:p w14:paraId="283F2E50" w14:textId="77777777" w:rsidR="000E6E9C" w:rsidRPr="0073792A" w:rsidRDefault="000E6E9C" w:rsidP="00C35322">
      <w:pPr>
        <w:pStyle w:val="Telobesedila-zamik21"/>
        <w:spacing w:line="240" w:lineRule="exact"/>
        <w:ind w:firstLine="0"/>
        <w:rPr>
          <w:rFonts w:ascii="Calibri" w:hAnsi="Calibri" w:cstheme="minorHAnsi"/>
          <w:i/>
          <w:iCs/>
          <w:szCs w:val="22"/>
        </w:rPr>
      </w:pPr>
      <w:r w:rsidRPr="0073792A">
        <w:rPr>
          <w:rFonts w:ascii="Calibri" w:hAnsi="Calibri" w:cstheme="minorHAnsi"/>
          <w:i/>
          <w:iCs/>
          <w:szCs w:val="22"/>
        </w:rPr>
        <w:t xml:space="preserve">Tabela 1: Poslovni rezultat v letu 2024. </w:t>
      </w:r>
    </w:p>
    <w:p w14:paraId="1AE08629" w14:textId="77777777" w:rsidR="000E6E9C" w:rsidRPr="0073792A" w:rsidRDefault="000E6E9C" w:rsidP="00C35322">
      <w:pPr>
        <w:pStyle w:val="Telobesedila-zamik21"/>
        <w:spacing w:line="240" w:lineRule="exact"/>
        <w:ind w:left="360" w:firstLine="0"/>
        <w:rPr>
          <w:rFonts w:ascii="Calibri" w:hAnsi="Calibri" w:cstheme="minorHAnsi"/>
          <w:i/>
          <w:iCs/>
          <w:szCs w:val="22"/>
        </w:rPr>
      </w:pPr>
    </w:p>
    <w:tbl>
      <w:tblPr>
        <w:tblStyle w:val="Tabelamrea"/>
        <w:tblW w:w="0" w:type="auto"/>
        <w:tblLook w:val="04A0" w:firstRow="1" w:lastRow="0" w:firstColumn="1" w:lastColumn="0" w:noHBand="0" w:noVBand="1"/>
      </w:tblPr>
      <w:tblGrid>
        <w:gridCol w:w="2263"/>
        <w:gridCol w:w="2410"/>
      </w:tblGrid>
      <w:tr w:rsidR="000E6E9C" w:rsidRPr="0073792A" w14:paraId="183541DE" w14:textId="77777777" w:rsidTr="00F31E15">
        <w:tc>
          <w:tcPr>
            <w:tcW w:w="2263" w:type="dxa"/>
          </w:tcPr>
          <w:p w14:paraId="3287973B" w14:textId="77777777" w:rsidR="000E6E9C" w:rsidRPr="0073792A" w:rsidRDefault="000E6E9C" w:rsidP="00C35322">
            <w:pPr>
              <w:pStyle w:val="Telobesedila-zamik21"/>
              <w:spacing w:line="240" w:lineRule="exact"/>
              <w:ind w:firstLine="0"/>
              <w:rPr>
                <w:rFonts w:ascii="Calibri" w:hAnsi="Calibri" w:cstheme="minorHAnsi"/>
                <w:szCs w:val="22"/>
              </w:rPr>
            </w:pPr>
            <w:r w:rsidRPr="0073792A">
              <w:rPr>
                <w:rFonts w:ascii="Calibri" w:hAnsi="Calibri" w:cstheme="minorHAnsi"/>
                <w:szCs w:val="22"/>
              </w:rPr>
              <w:t>1. Prihodki</w:t>
            </w:r>
          </w:p>
        </w:tc>
        <w:tc>
          <w:tcPr>
            <w:tcW w:w="2410" w:type="dxa"/>
          </w:tcPr>
          <w:p w14:paraId="16C17F17" w14:textId="77777777" w:rsidR="000E6E9C" w:rsidRPr="0073792A" w:rsidRDefault="000E6E9C" w:rsidP="00C35322">
            <w:pPr>
              <w:pStyle w:val="Telobesedila-zamik21"/>
              <w:spacing w:line="240" w:lineRule="exact"/>
              <w:ind w:firstLine="0"/>
              <w:rPr>
                <w:rFonts w:ascii="Calibri" w:hAnsi="Calibri" w:cstheme="minorHAnsi"/>
                <w:szCs w:val="22"/>
              </w:rPr>
            </w:pPr>
            <w:r w:rsidRPr="0073792A">
              <w:rPr>
                <w:rFonts w:ascii="Calibri" w:hAnsi="Calibri" w:cstheme="minorHAnsi"/>
                <w:szCs w:val="22"/>
              </w:rPr>
              <w:t>5.333,5 milijona evrov</w:t>
            </w:r>
          </w:p>
        </w:tc>
      </w:tr>
      <w:tr w:rsidR="000E6E9C" w:rsidRPr="0073792A" w14:paraId="40F3ECE7" w14:textId="77777777" w:rsidTr="00F31E15">
        <w:tc>
          <w:tcPr>
            <w:tcW w:w="2263" w:type="dxa"/>
          </w:tcPr>
          <w:p w14:paraId="4E2C9114" w14:textId="77777777" w:rsidR="000E6E9C" w:rsidRPr="0073792A" w:rsidRDefault="000E6E9C" w:rsidP="00C35322">
            <w:pPr>
              <w:pStyle w:val="Telobesedila-zamik21"/>
              <w:spacing w:line="240" w:lineRule="exact"/>
              <w:ind w:firstLine="0"/>
              <w:rPr>
                <w:rFonts w:ascii="Calibri" w:hAnsi="Calibri" w:cstheme="minorHAnsi"/>
                <w:szCs w:val="22"/>
              </w:rPr>
            </w:pPr>
            <w:r w:rsidRPr="0073792A">
              <w:rPr>
                <w:rFonts w:ascii="Calibri" w:hAnsi="Calibri" w:cstheme="minorHAnsi"/>
                <w:szCs w:val="22"/>
              </w:rPr>
              <w:t>2. Odhodki</w:t>
            </w:r>
          </w:p>
        </w:tc>
        <w:tc>
          <w:tcPr>
            <w:tcW w:w="2410" w:type="dxa"/>
          </w:tcPr>
          <w:p w14:paraId="1EC68548" w14:textId="77777777" w:rsidR="000E6E9C" w:rsidRPr="0073792A" w:rsidRDefault="000E6E9C" w:rsidP="00C35322">
            <w:pPr>
              <w:pStyle w:val="Telobesedila-zamik21"/>
              <w:spacing w:line="240" w:lineRule="exact"/>
              <w:ind w:firstLine="0"/>
              <w:rPr>
                <w:rFonts w:ascii="Calibri" w:hAnsi="Calibri" w:cstheme="minorHAnsi"/>
                <w:szCs w:val="22"/>
              </w:rPr>
            </w:pPr>
            <w:r w:rsidRPr="0073792A">
              <w:rPr>
                <w:rFonts w:ascii="Calibri" w:hAnsi="Calibri" w:cstheme="minorHAnsi"/>
                <w:szCs w:val="22"/>
              </w:rPr>
              <w:t>5.254,4 milijona evrov</w:t>
            </w:r>
          </w:p>
        </w:tc>
      </w:tr>
      <w:tr w:rsidR="000E6E9C" w:rsidRPr="0073792A" w14:paraId="305366AF" w14:textId="77777777" w:rsidTr="00F31E15">
        <w:tc>
          <w:tcPr>
            <w:tcW w:w="2263" w:type="dxa"/>
          </w:tcPr>
          <w:p w14:paraId="68D43A46" w14:textId="77777777" w:rsidR="000E6E9C" w:rsidRPr="0073792A" w:rsidRDefault="000E6E9C" w:rsidP="00C35322">
            <w:pPr>
              <w:pStyle w:val="Telobesedila-zamik21"/>
              <w:spacing w:line="240" w:lineRule="exact"/>
              <w:ind w:firstLine="0"/>
              <w:rPr>
                <w:rFonts w:ascii="Calibri" w:hAnsi="Calibri" w:cstheme="minorHAnsi"/>
                <w:szCs w:val="22"/>
              </w:rPr>
            </w:pPr>
            <w:r w:rsidRPr="0073792A">
              <w:rPr>
                <w:rFonts w:ascii="Calibri" w:hAnsi="Calibri" w:cstheme="minorHAnsi"/>
                <w:szCs w:val="22"/>
              </w:rPr>
              <w:t>3. Presežek (1-2)</w:t>
            </w:r>
          </w:p>
        </w:tc>
        <w:tc>
          <w:tcPr>
            <w:tcW w:w="2410" w:type="dxa"/>
          </w:tcPr>
          <w:p w14:paraId="30CC7FE6" w14:textId="77777777" w:rsidR="000E6E9C" w:rsidRPr="0073792A" w:rsidRDefault="000E6E9C" w:rsidP="00C35322">
            <w:pPr>
              <w:pStyle w:val="Telobesedila-zamik21"/>
              <w:spacing w:line="240" w:lineRule="exact"/>
              <w:ind w:firstLine="0"/>
              <w:rPr>
                <w:rFonts w:ascii="Calibri" w:hAnsi="Calibri" w:cstheme="minorHAnsi"/>
                <w:szCs w:val="22"/>
              </w:rPr>
            </w:pPr>
            <w:r w:rsidRPr="0073792A">
              <w:rPr>
                <w:rFonts w:ascii="Calibri" w:hAnsi="Calibri" w:cstheme="minorHAnsi"/>
                <w:szCs w:val="22"/>
              </w:rPr>
              <w:t xml:space="preserve">      79,1 milijona evrov</w:t>
            </w:r>
          </w:p>
        </w:tc>
      </w:tr>
    </w:tbl>
    <w:p w14:paraId="09C6149B" w14:textId="7166C5D1" w:rsidR="00B605B3" w:rsidRPr="0073792A" w:rsidRDefault="00B605B3" w:rsidP="00C35322">
      <w:pPr>
        <w:pStyle w:val="Subhead1"/>
        <w:numPr>
          <w:ilvl w:val="0"/>
          <w:numId w:val="14"/>
        </w:numPr>
        <w:tabs>
          <w:tab w:val="clear" w:pos="850"/>
        </w:tabs>
        <w:spacing w:line="240" w:lineRule="exact"/>
        <w:rPr>
          <w:rFonts w:ascii="Calibri" w:hAnsi="Calibri" w:cstheme="minorHAnsi"/>
          <w:sz w:val="22"/>
          <w:szCs w:val="22"/>
        </w:rPr>
      </w:pPr>
      <w:r w:rsidRPr="0073792A">
        <w:rPr>
          <w:rFonts w:ascii="Calibri" w:hAnsi="Calibri" w:cstheme="minorHAnsi"/>
          <w:sz w:val="22"/>
          <w:szCs w:val="22"/>
        </w:rPr>
        <w:lastRenderedPageBreak/>
        <w:t>Prihodki ZZZS v letu 202</w:t>
      </w:r>
      <w:r w:rsidR="0073792A" w:rsidRPr="0073792A">
        <w:rPr>
          <w:rFonts w:ascii="Calibri" w:hAnsi="Calibri" w:cstheme="minorHAnsi"/>
          <w:sz w:val="22"/>
          <w:szCs w:val="22"/>
        </w:rPr>
        <w:t>4</w:t>
      </w:r>
    </w:p>
    <w:p w14:paraId="68D66C04" w14:textId="77777777" w:rsidR="0073792A" w:rsidRPr="0073792A" w:rsidRDefault="0073792A" w:rsidP="00C35322">
      <w:pPr>
        <w:pStyle w:val="Telobesedila1"/>
        <w:spacing w:line="240" w:lineRule="exact"/>
        <w:rPr>
          <w:rFonts w:ascii="Calibri" w:hAnsi="Calibri" w:cstheme="minorHAnsi"/>
        </w:rPr>
      </w:pPr>
      <w:r w:rsidRPr="0073792A">
        <w:rPr>
          <w:rFonts w:ascii="Calibri" w:hAnsi="Calibri" w:cstheme="minorHAnsi"/>
          <w:b/>
        </w:rPr>
        <w:t>Celotni prihodki ZZZS so izkazani po načelu denarnega toka in v letu 2024 znašajo 5.333,5 milijona evrov</w:t>
      </w:r>
      <w:r w:rsidRPr="0073792A">
        <w:rPr>
          <w:rFonts w:ascii="Calibri" w:hAnsi="Calibri" w:cstheme="minorHAnsi"/>
        </w:rPr>
        <w:t xml:space="preserve"> in so za</w:t>
      </w:r>
      <w:r w:rsidRPr="0073792A">
        <w:rPr>
          <w:rFonts w:ascii="Calibri" w:hAnsi="Calibri" w:cstheme="minorHAnsi"/>
          <w:color w:val="auto"/>
        </w:rPr>
        <w:t xml:space="preserve"> 9,7 milijona evrov oz. za</w:t>
      </w:r>
      <w:r w:rsidRPr="0073792A">
        <w:rPr>
          <w:rFonts w:ascii="Calibri" w:hAnsi="Calibri" w:cstheme="minorHAnsi"/>
        </w:rPr>
        <w:t xml:space="preserve"> 0,2 % manjši od načrtovanih (manjši so prihodki iz državnega proračuna za 77,8 milijona evrov in prihodki po dogovorih o cenah in povračilu stroškov za zdravila, ki jih je ZZZS sklenil z dobavitelji zdravil za 3,1 milijona evrov, večji pa prihodki od prispevkov za 53 milijonov evrov, prihodki po mednarodnih sporazumih z drugimi državami za 14,6 milijona evrov, prihodki od regresnih zahtevkov za 2,1 milijona evrov in prihodki od naložb za 0,8 milijona evrov). V primerjavi s preteklim letom so prihodki večji za 23,5 % ali za 1.015 milijonov evrov, predvsem zaradi ukinitve dopolnilnega zdravstvenega zavarovanja in uvedbe novega obveznega zdravstvenega prispevka (v nadaljevanju: OZP) s. 1. 1. 2024, večjih prihodkov od prispevkov in večjih transfernih prihodkov iz državnega proračuna. </w:t>
      </w:r>
    </w:p>
    <w:p w14:paraId="04FAD429" w14:textId="77777777" w:rsidR="0073792A" w:rsidRPr="0073792A" w:rsidRDefault="0073792A" w:rsidP="00C35322">
      <w:pPr>
        <w:pStyle w:val="Telobesedila"/>
        <w:rPr>
          <w:rFonts w:cstheme="minorHAnsi"/>
          <w:snapToGrid w:val="0"/>
          <w:color w:val="000000"/>
          <w:u w:val="single"/>
        </w:rPr>
      </w:pPr>
    </w:p>
    <w:p w14:paraId="25A9E24B" w14:textId="77777777" w:rsidR="0073792A" w:rsidRPr="0073792A" w:rsidRDefault="0073792A" w:rsidP="00C35322">
      <w:pPr>
        <w:pStyle w:val="Telobesedila"/>
        <w:rPr>
          <w:rFonts w:cstheme="minorHAnsi"/>
          <w:snapToGrid w:val="0"/>
          <w:color w:val="000000"/>
        </w:rPr>
      </w:pPr>
      <w:r w:rsidRPr="0073792A">
        <w:rPr>
          <w:rFonts w:cstheme="minorHAnsi"/>
          <w:snapToGrid w:val="0"/>
          <w:color w:val="000000"/>
          <w:u w:val="single"/>
        </w:rPr>
        <w:t>Prihodki od prispevkov</w:t>
      </w:r>
      <w:r w:rsidRPr="0073792A">
        <w:rPr>
          <w:rFonts w:cstheme="minorHAnsi"/>
          <w:snapToGrid w:val="0"/>
          <w:color w:val="000000"/>
        </w:rPr>
        <w:t xml:space="preserve"> znašajo 4.813,9 milijona evrov, od tega v letu 2024 dodatnih 637,2 milijona evrov iz naslova OZP, ki ga plačujejo zavarovane osebe v pavšalnem znesku 35 evrov mesečno (623,5 milijona evrov) in iz naslova OZP</w:t>
      </w:r>
      <w:r w:rsidRPr="0073792A">
        <w:rPr>
          <w:rFonts w:cstheme="minorHAnsi"/>
        </w:rPr>
        <w:t>, ki ga krije državni proračun za socialno ogrožene osebe</w:t>
      </w:r>
      <w:r w:rsidRPr="0073792A">
        <w:rPr>
          <w:rFonts w:cstheme="minorHAnsi"/>
          <w:snapToGrid w:val="0"/>
          <w:color w:val="000000"/>
        </w:rPr>
        <w:t xml:space="preserve"> (13,7 milijona evrov). Skupni prihodki od prispevkov predstavljajo 90,3 % vseh prihodkov in za 24,3 % presegajo realizirane v letu 2023, kar je v večji meri posledica uvedenega novega OZP (637,2 milijona evrov večji prihodki v primerjavi z letom 2023), deloma pa tudi rasti povprečne bruto plače in prispevnih osnov. </w:t>
      </w:r>
    </w:p>
    <w:p w14:paraId="015B0FF9" w14:textId="77777777" w:rsidR="0073792A" w:rsidRPr="0073792A" w:rsidRDefault="0073792A" w:rsidP="00C35322">
      <w:pPr>
        <w:pStyle w:val="Telobesedila1"/>
        <w:spacing w:line="240" w:lineRule="exact"/>
        <w:rPr>
          <w:rFonts w:ascii="Calibri" w:hAnsi="Calibri" w:cstheme="minorHAnsi"/>
          <w:snapToGrid/>
          <w:color w:val="auto"/>
        </w:rPr>
      </w:pPr>
      <w:r w:rsidRPr="0073792A">
        <w:rPr>
          <w:rFonts w:ascii="Calibri" w:hAnsi="Calibri" w:cstheme="minorHAnsi"/>
          <w:snapToGrid/>
          <w:color w:val="auto"/>
          <w:u w:val="single"/>
        </w:rPr>
        <w:t>Drugi prihodki</w:t>
      </w:r>
      <w:r w:rsidRPr="0073792A">
        <w:rPr>
          <w:rFonts w:ascii="Calibri" w:hAnsi="Calibri" w:cstheme="minorHAnsi"/>
          <w:snapToGrid/>
          <w:color w:val="auto"/>
        </w:rPr>
        <w:t xml:space="preserve"> znašajo 519,6 milijona evrov (predstavljajo 9,7 % vseh prihodkov), so za 16,7 %  ali za 74,4 milijona evrov večji od drugih prihodkov v letu 2023 in so za 62,7 milijona evrov pod načrtovanimi (predvsem zaradi manjše realizacije transferov iz državnega proračuna na podlagi Zakona o izvrševanju proračunov države za leto 2024 in 2025).</w:t>
      </w:r>
    </w:p>
    <w:p w14:paraId="61828179" w14:textId="77777777" w:rsidR="0073792A" w:rsidRPr="0073792A" w:rsidRDefault="0073792A" w:rsidP="00C35322">
      <w:pPr>
        <w:pStyle w:val="Telobesedila1"/>
        <w:spacing w:line="240" w:lineRule="exact"/>
        <w:rPr>
          <w:rFonts w:ascii="Calibri" w:hAnsi="Calibri" w:cstheme="minorHAnsi"/>
        </w:rPr>
      </w:pPr>
      <w:r w:rsidRPr="0073792A">
        <w:rPr>
          <w:rFonts w:ascii="Calibri" w:hAnsi="Calibri" w:cstheme="minorHAnsi"/>
          <w:snapToGrid/>
          <w:color w:val="auto"/>
        </w:rPr>
        <w:t xml:space="preserve">Največji delež med drugimi prihodki (67,2 %) predstavljajo sredstva iz državnega proračuna v višini 349,3 milijona evrov, sledijo </w:t>
      </w:r>
      <w:r w:rsidRPr="0073792A">
        <w:rPr>
          <w:rFonts w:ascii="Calibri" w:hAnsi="Calibri" w:cstheme="minorHAnsi"/>
        </w:rPr>
        <w:t>prihodki po dogovorih o cenah in povračilu stroškov za zdravila, ki jih je ZZZS sklenil z dobavitelji zdravil v višini 88,1 milijona evrov (17,0 %)</w:t>
      </w:r>
      <w:r w:rsidRPr="0073792A">
        <w:rPr>
          <w:rFonts w:ascii="Calibri" w:hAnsi="Calibri" w:cstheme="minorHAnsi"/>
          <w:snapToGrid/>
          <w:color w:val="auto"/>
        </w:rPr>
        <w:t>, prihodki od regresnih zahtevkov v višini 31,1 milijona evrov (6,0 %), prihodki po mednarodnih sporazumih v višini 45,6 milijona evrov (8,8 %) in drugi prihodki (1,0 %)</w:t>
      </w:r>
      <w:r w:rsidRPr="0073792A">
        <w:rPr>
          <w:rFonts w:ascii="Calibri" w:hAnsi="Calibri" w:cstheme="minorHAnsi"/>
        </w:rPr>
        <w:t xml:space="preserve">. </w:t>
      </w:r>
    </w:p>
    <w:p w14:paraId="66ADF2E8" w14:textId="77777777" w:rsidR="0073792A" w:rsidRPr="0073792A" w:rsidRDefault="0073792A" w:rsidP="00C35322">
      <w:pPr>
        <w:pStyle w:val="p-marked"/>
        <w:shd w:val="clear" w:color="auto" w:fill="FFFFFF"/>
        <w:spacing w:line="240" w:lineRule="exact"/>
        <w:jc w:val="both"/>
        <w:rPr>
          <w:rFonts w:ascii="Calibri" w:hAnsi="Calibri" w:cstheme="minorHAnsi"/>
          <w:sz w:val="22"/>
          <w:szCs w:val="22"/>
        </w:rPr>
      </w:pPr>
      <w:r w:rsidRPr="0073792A">
        <w:rPr>
          <w:rFonts w:ascii="Calibri" w:hAnsi="Calibri" w:cstheme="minorHAnsi"/>
          <w:sz w:val="22"/>
          <w:szCs w:val="22"/>
        </w:rPr>
        <w:t xml:space="preserve">V letu 2024 je ZZZS iz državnega proračuna prejel naslednja sredstva: </w:t>
      </w:r>
    </w:p>
    <w:p w14:paraId="3A4C9EAD" w14:textId="77777777" w:rsidR="0073792A" w:rsidRPr="0073792A" w:rsidRDefault="0073792A" w:rsidP="00C35322">
      <w:pPr>
        <w:pStyle w:val="p-marked"/>
        <w:numPr>
          <w:ilvl w:val="0"/>
          <w:numId w:val="16"/>
        </w:numPr>
        <w:shd w:val="clear" w:color="auto" w:fill="FFFFFF"/>
        <w:spacing w:line="240" w:lineRule="exact"/>
        <w:jc w:val="both"/>
        <w:rPr>
          <w:rFonts w:ascii="Calibri" w:hAnsi="Calibri" w:cstheme="minorHAnsi"/>
          <w:sz w:val="22"/>
          <w:szCs w:val="22"/>
        </w:rPr>
      </w:pPr>
      <w:r w:rsidRPr="0073792A">
        <w:rPr>
          <w:rFonts w:ascii="Calibri" w:hAnsi="Calibri" w:cstheme="minorHAnsi"/>
          <w:sz w:val="22"/>
          <w:szCs w:val="22"/>
        </w:rPr>
        <w:t xml:space="preserve">280 milijonov evrov povračil za stroške zdravil, razvrščenih na seznam bolnišničnih zdravil, presejalnih in preventivnih programov, transplantacij, dializ in cepiv, </w:t>
      </w:r>
    </w:p>
    <w:p w14:paraId="28701802" w14:textId="77777777" w:rsidR="0073792A" w:rsidRPr="0073792A" w:rsidRDefault="0073792A" w:rsidP="00C35322">
      <w:pPr>
        <w:pStyle w:val="p-marked"/>
        <w:numPr>
          <w:ilvl w:val="0"/>
          <w:numId w:val="16"/>
        </w:numPr>
        <w:shd w:val="clear" w:color="auto" w:fill="FFFFFF"/>
        <w:spacing w:line="240" w:lineRule="exact"/>
        <w:jc w:val="both"/>
        <w:rPr>
          <w:rFonts w:ascii="Calibri" w:hAnsi="Calibri" w:cstheme="minorHAnsi"/>
          <w:sz w:val="22"/>
          <w:szCs w:val="22"/>
        </w:rPr>
      </w:pPr>
      <w:r w:rsidRPr="0073792A">
        <w:rPr>
          <w:rFonts w:ascii="Calibri" w:hAnsi="Calibri" w:cstheme="minorHAnsi"/>
          <w:sz w:val="22"/>
          <w:szCs w:val="22"/>
        </w:rPr>
        <w:t xml:space="preserve">64,3 milijona evrov za preseganje programa zdravstvenih storitev nad planiranim obsegom iz obveznega zdravstvenega zavarovanja po končnem letnem obračunu za leto 2023, </w:t>
      </w:r>
    </w:p>
    <w:p w14:paraId="6F55D14D" w14:textId="77777777" w:rsidR="0073792A" w:rsidRPr="0073792A" w:rsidRDefault="0073792A" w:rsidP="00C35322">
      <w:pPr>
        <w:pStyle w:val="p-marked"/>
        <w:numPr>
          <w:ilvl w:val="0"/>
          <w:numId w:val="16"/>
        </w:numPr>
        <w:shd w:val="clear" w:color="auto" w:fill="FFFFFF"/>
        <w:spacing w:line="240" w:lineRule="exact"/>
        <w:jc w:val="both"/>
        <w:rPr>
          <w:rFonts w:ascii="Calibri" w:hAnsi="Calibri" w:cstheme="minorHAnsi"/>
          <w:sz w:val="22"/>
          <w:szCs w:val="22"/>
        </w:rPr>
      </w:pPr>
      <w:r w:rsidRPr="0073792A">
        <w:rPr>
          <w:rFonts w:ascii="Calibri" w:hAnsi="Calibri" w:cstheme="minorHAnsi"/>
          <w:sz w:val="22"/>
          <w:szCs w:val="22"/>
        </w:rPr>
        <w:t xml:space="preserve">3,5 milijona evrov za povračilo plačila zdravstvenih storitev do polne vrednosti storitev za socialno ogrožene, opravljenih še v letu 2023 in </w:t>
      </w:r>
    </w:p>
    <w:p w14:paraId="4A4B693D" w14:textId="77777777" w:rsidR="0073792A" w:rsidRPr="0073792A" w:rsidRDefault="0073792A" w:rsidP="00C35322">
      <w:pPr>
        <w:pStyle w:val="p-marked"/>
        <w:numPr>
          <w:ilvl w:val="0"/>
          <w:numId w:val="16"/>
        </w:numPr>
        <w:shd w:val="clear" w:color="auto" w:fill="FFFFFF"/>
        <w:spacing w:line="240" w:lineRule="exact"/>
        <w:jc w:val="both"/>
        <w:rPr>
          <w:rFonts w:ascii="Calibri" w:hAnsi="Calibri" w:cstheme="minorHAnsi"/>
          <w:sz w:val="22"/>
          <w:szCs w:val="22"/>
        </w:rPr>
      </w:pPr>
      <w:r w:rsidRPr="0073792A">
        <w:rPr>
          <w:rFonts w:ascii="Calibri" w:hAnsi="Calibri" w:cstheme="minorHAnsi"/>
          <w:sz w:val="22"/>
          <w:szCs w:val="22"/>
        </w:rPr>
        <w:t xml:space="preserve">1,5 milijona evrov za kritje povračila stroškov dela in materialnih stroškov, povezanih z nalogami za dolgotrajno oskrbo. </w:t>
      </w:r>
    </w:p>
    <w:p w14:paraId="4A112326" w14:textId="77777777" w:rsidR="0073792A" w:rsidRPr="0073792A" w:rsidRDefault="0073792A" w:rsidP="0073792A">
      <w:pPr>
        <w:pStyle w:val="Telobesedila1"/>
        <w:spacing w:line="240" w:lineRule="auto"/>
        <w:jc w:val="center"/>
        <w:rPr>
          <w:rFonts w:ascii="Calibri" w:hAnsi="Calibri" w:cstheme="minorHAnsi"/>
        </w:rPr>
      </w:pPr>
      <w:r w:rsidRPr="0073792A">
        <w:rPr>
          <w:rFonts w:ascii="Calibri" w:hAnsi="Calibri"/>
          <w:noProof/>
        </w:rPr>
        <w:lastRenderedPageBreak/>
        <w:drawing>
          <wp:inline distT="0" distB="0" distL="0" distR="0" wp14:anchorId="1DACDBA8" wp14:editId="103D7CFA">
            <wp:extent cx="4773750" cy="3190875"/>
            <wp:effectExtent l="0" t="0" r="8255" b="0"/>
            <wp:docPr id="209205695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3750" cy="3190875"/>
                    </a:xfrm>
                    <a:prstGeom prst="rect">
                      <a:avLst/>
                    </a:prstGeom>
                    <a:noFill/>
                    <a:ln>
                      <a:noFill/>
                    </a:ln>
                  </pic:spPr>
                </pic:pic>
              </a:graphicData>
            </a:graphic>
          </wp:inline>
        </w:drawing>
      </w:r>
    </w:p>
    <w:p w14:paraId="0E7E486B" w14:textId="77777777" w:rsidR="0073792A" w:rsidRPr="0073792A" w:rsidRDefault="0073792A" w:rsidP="0073792A">
      <w:pPr>
        <w:pStyle w:val="Telobesedila1"/>
        <w:spacing w:line="240" w:lineRule="auto"/>
        <w:jc w:val="center"/>
        <w:rPr>
          <w:rFonts w:ascii="Calibri" w:hAnsi="Calibri" w:cstheme="minorHAnsi"/>
          <w:i/>
          <w:color w:val="auto"/>
        </w:rPr>
      </w:pPr>
      <w:r w:rsidRPr="0073792A">
        <w:rPr>
          <w:rFonts w:ascii="Calibri" w:hAnsi="Calibri" w:cstheme="minorHAnsi"/>
          <w:i/>
          <w:color w:val="auto"/>
        </w:rPr>
        <w:t>Slika 1: Struktura prihodkov ZZZS v letu 2024.</w:t>
      </w:r>
    </w:p>
    <w:p w14:paraId="6E905384" w14:textId="170300E6" w:rsidR="00FE476B" w:rsidRPr="0073792A" w:rsidRDefault="00FE476B" w:rsidP="004135B1">
      <w:pPr>
        <w:pStyle w:val="Telobesedila1"/>
        <w:spacing w:line="240" w:lineRule="exact"/>
        <w:rPr>
          <w:rFonts w:ascii="Calibri" w:hAnsi="Calibri" w:cstheme="minorHAnsi"/>
        </w:rPr>
      </w:pPr>
      <w:r w:rsidRPr="0073792A">
        <w:rPr>
          <w:rFonts w:ascii="Calibri" w:hAnsi="Calibri" w:cstheme="minorHAnsi"/>
        </w:rPr>
        <w:t xml:space="preserve">                                                                                                                                                                                                                                                                                              </w:t>
      </w:r>
    </w:p>
    <w:p w14:paraId="31E0EF3B" w14:textId="0EBF308F" w:rsidR="00FE476B" w:rsidRPr="0073792A" w:rsidRDefault="00FE476B" w:rsidP="004135B1">
      <w:pPr>
        <w:pStyle w:val="Bodyleftbold"/>
        <w:numPr>
          <w:ilvl w:val="0"/>
          <w:numId w:val="14"/>
        </w:numPr>
        <w:tabs>
          <w:tab w:val="left" w:pos="284"/>
        </w:tabs>
        <w:spacing w:line="240" w:lineRule="exact"/>
        <w:rPr>
          <w:rFonts w:ascii="Calibri" w:hAnsi="Calibri" w:cstheme="minorHAnsi"/>
        </w:rPr>
      </w:pPr>
      <w:r w:rsidRPr="0073792A">
        <w:rPr>
          <w:rFonts w:ascii="Calibri" w:hAnsi="Calibri" w:cstheme="minorHAnsi"/>
        </w:rPr>
        <w:t>Odhodki ZZZS v letu 202</w:t>
      </w:r>
      <w:r w:rsidR="0073792A" w:rsidRPr="0073792A">
        <w:rPr>
          <w:rFonts w:ascii="Calibri" w:hAnsi="Calibri" w:cstheme="minorHAnsi"/>
        </w:rPr>
        <w:t>4</w:t>
      </w:r>
    </w:p>
    <w:p w14:paraId="3553F85C" w14:textId="77777777" w:rsidR="0073792A" w:rsidRPr="0073792A" w:rsidRDefault="0073792A" w:rsidP="00C35322">
      <w:pPr>
        <w:pStyle w:val="Bodyleftbold"/>
        <w:spacing w:line="240" w:lineRule="exact"/>
        <w:rPr>
          <w:rFonts w:ascii="Calibri" w:hAnsi="Calibri" w:cstheme="minorHAnsi"/>
          <w:b w:val="0"/>
        </w:rPr>
      </w:pPr>
      <w:r w:rsidRPr="0073792A">
        <w:rPr>
          <w:rFonts w:ascii="Calibri" w:hAnsi="Calibri" w:cstheme="minorHAnsi"/>
        </w:rPr>
        <w:t xml:space="preserve">Odhodki ZZZS so izkazani po načelu denarnega toka in v letu 2024 znašajo 5.254,4 milijona evrov. </w:t>
      </w:r>
      <w:r w:rsidRPr="0073792A">
        <w:rPr>
          <w:rFonts w:ascii="Calibri" w:hAnsi="Calibri" w:cstheme="minorHAnsi"/>
          <w:b w:val="0"/>
        </w:rPr>
        <w:t xml:space="preserve">V primerjavi s predhodnim letom so večji za 19,6 % oziroma za 859,7 milijona evrov, kar je posledica ukinitve dopolnilnega zdravstvenega zavarovanja z 31. 12. 2023 in s tem povezanim plačilom opravljenih zdravstvenih storitev v polni vrednosti v breme obveznega zdravstvenega zavarovanja od 1. 1. 2024 dalje. Največjo rast odhodkov izkazujejo odhodki za zdravila (49,6 %), sledijo odhodki za medicinske pripomočke (28,7 %), odhodki iz naslova mednarodnih sporazumov (21,3 %) in odhodki za zdravstvene storitve (17,1 %). </w:t>
      </w:r>
    </w:p>
    <w:p w14:paraId="4C8E8FED" w14:textId="77777777" w:rsidR="0073792A" w:rsidRPr="0073792A" w:rsidDel="002118A5" w:rsidRDefault="0073792A" w:rsidP="0073792A">
      <w:pPr>
        <w:pStyle w:val="Bodyleftbold"/>
        <w:spacing w:line="240" w:lineRule="auto"/>
        <w:jc w:val="center"/>
        <w:rPr>
          <w:rFonts w:ascii="Calibri" w:hAnsi="Calibri" w:cstheme="minorHAnsi"/>
          <w:b w:val="0"/>
        </w:rPr>
      </w:pPr>
      <w:r w:rsidRPr="0073792A">
        <w:rPr>
          <w:rFonts w:ascii="Calibri" w:hAnsi="Calibri"/>
          <w:noProof/>
        </w:rPr>
        <w:drawing>
          <wp:inline distT="0" distB="0" distL="0" distR="0" wp14:anchorId="36795434" wp14:editId="67A02D60">
            <wp:extent cx="4630436" cy="2790825"/>
            <wp:effectExtent l="0" t="0" r="0" b="0"/>
            <wp:docPr id="49013108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0452" cy="2790835"/>
                    </a:xfrm>
                    <a:prstGeom prst="rect">
                      <a:avLst/>
                    </a:prstGeom>
                    <a:noFill/>
                    <a:ln>
                      <a:noFill/>
                    </a:ln>
                  </pic:spPr>
                </pic:pic>
              </a:graphicData>
            </a:graphic>
          </wp:inline>
        </w:drawing>
      </w:r>
    </w:p>
    <w:p w14:paraId="143453A3" w14:textId="77777777" w:rsidR="0073792A" w:rsidRPr="0073792A" w:rsidDel="002118A5" w:rsidRDefault="0073792A" w:rsidP="0073792A">
      <w:pPr>
        <w:pStyle w:val="Telobesedila1"/>
        <w:spacing w:line="240" w:lineRule="auto"/>
        <w:jc w:val="center"/>
        <w:rPr>
          <w:rFonts w:ascii="Calibri" w:hAnsi="Calibri" w:cstheme="minorHAnsi"/>
          <w:i/>
          <w:color w:val="auto"/>
        </w:rPr>
      </w:pPr>
      <w:r w:rsidRPr="0073792A" w:rsidDel="002118A5">
        <w:rPr>
          <w:rFonts w:ascii="Calibri" w:hAnsi="Calibri" w:cstheme="minorHAnsi"/>
          <w:i/>
          <w:color w:val="auto"/>
        </w:rPr>
        <w:t>Slika 2: Struktura odhodkov ZZZS v letu 202</w:t>
      </w:r>
      <w:r w:rsidRPr="0073792A">
        <w:rPr>
          <w:rFonts w:ascii="Calibri" w:hAnsi="Calibri" w:cstheme="minorHAnsi"/>
          <w:i/>
          <w:color w:val="auto"/>
        </w:rPr>
        <w:t>4</w:t>
      </w:r>
      <w:r w:rsidRPr="0073792A" w:rsidDel="002118A5">
        <w:rPr>
          <w:rFonts w:ascii="Calibri" w:hAnsi="Calibri" w:cstheme="minorHAnsi"/>
          <w:i/>
          <w:color w:val="auto"/>
        </w:rPr>
        <w:t>.</w:t>
      </w:r>
    </w:p>
    <w:p w14:paraId="67F7A34E" w14:textId="5F605FB2" w:rsidR="00FE476B" w:rsidRPr="0073792A" w:rsidRDefault="00FE476B" w:rsidP="00C35322">
      <w:pPr>
        <w:pStyle w:val="Bodyleftbold"/>
        <w:spacing w:line="240" w:lineRule="exact"/>
        <w:rPr>
          <w:rFonts w:ascii="Calibri" w:hAnsi="Calibri" w:cstheme="minorHAnsi"/>
        </w:rPr>
      </w:pPr>
      <w:r w:rsidRPr="0073792A">
        <w:rPr>
          <w:rFonts w:ascii="Calibri" w:hAnsi="Calibri" w:cstheme="minorHAnsi"/>
        </w:rPr>
        <w:lastRenderedPageBreak/>
        <w:t>a) Odhodki za zdravstveno dejavnost</w:t>
      </w:r>
    </w:p>
    <w:p w14:paraId="789673A5" w14:textId="77777777" w:rsidR="0073792A" w:rsidRPr="0073792A" w:rsidRDefault="0073792A" w:rsidP="00C35322">
      <w:pPr>
        <w:pStyle w:val="Telobesedila1"/>
        <w:spacing w:line="240" w:lineRule="exact"/>
        <w:rPr>
          <w:rFonts w:ascii="Calibri" w:hAnsi="Calibri" w:cstheme="minorHAnsi"/>
          <w:color w:val="auto"/>
        </w:rPr>
      </w:pPr>
      <w:r w:rsidRPr="0073792A">
        <w:rPr>
          <w:rFonts w:ascii="Calibri" w:hAnsi="Calibri" w:cstheme="minorHAnsi"/>
          <w:color w:val="auto"/>
        </w:rPr>
        <w:t xml:space="preserve">Odhodki za zdravstveno dejavnost vključujejo odhodke za zdravstvene storitve, zdravila, medicinske pripomočke, cepiva, odhodke za zdravljenje v tujini in odhodke po mednarodnih sporazumih, in predstavljajo 86,6 % vseh odhodkov ZZZS. </w:t>
      </w:r>
    </w:p>
    <w:p w14:paraId="3EDF880A" w14:textId="77777777" w:rsidR="0073792A" w:rsidRPr="0073792A" w:rsidRDefault="0073792A" w:rsidP="00C35322">
      <w:pPr>
        <w:pStyle w:val="Telobesedila1"/>
        <w:spacing w:line="240" w:lineRule="exact"/>
        <w:rPr>
          <w:rFonts w:ascii="Calibri" w:hAnsi="Calibri" w:cstheme="minorHAnsi"/>
        </w:rPr>
      </w:pPr>
      <w:r w:rsidRPr="0073792A">
        <w:rPr>
          <w:rFonts w:ascii="Calibri" w:hAnsi="Calibri" w:cstheme="minorHAnsi"/>
        </w:rPr>
        <w:t xml:space="preserve">V strukturi celotnih odhodkov ZZZS imajo </w:t>
      </w:r>
      <w:r w:rsidRPr="0073792A">
        <w:rPr>
          <w:rFonts w:ascii="Calibri" w:hAnsi="Calibri" w:cstheme="minorHAnsi"/>
          <w:i/>
          <w:u w:val="single"/>
        </w:rPr>
        <w:t>odhodki za zdravstvene storitve</w:t>
      </w:r>
      <w:r w:rsidRPr="0073792A">
        <w:rPr>
          <w:rFonts w:ascii="Calibri" w:hAnsi="Calibri" w:cstheme="minorHAnsi"/>
        </w:rPr>
        <w:t xml:space="preserve"> 66,8 % delež, v letu 2024 znašajo 3.512,2 milijona evrov in so v okviru načrtovanih (99,7 % načrtovanih odhodkov za zdravstvene storitve). V primerjavi z letom 2023 so večji za 17,1 % oz. za 511,7 milijona evrov. Rast teh odhodkov je pretežno posledica ukinitve dopolnilnega zdravstvenega zavarovanja s koncem leta 2023 in plačevanja zdravstvenih storitev v polni, 100 % vrednosti v breme obveznega zdravstvenega zavarovanja in nič več v deležih, kot so bili določeni s sklepom o odstotkih vrednosti zdravstvenih storitev, ki se zagotavljajo iz obveznega zdravstvenega zavarovanja. Po drugi strani pa je zabeležena </w:t>
      </w:r>
      <w:r w:rsidRPr="0073792A">
        <w:rPr>
          <w:rFonts w:ascii="Calibri" w:hAnsi="Calibri" w:cs="Calibri"/>
        </w:rPr>
        <w:t>nižja realizacija zdravstvenih storitev od pričakovane v letu 2024 zaradi nedoseganja načrtovanega obsega programa zdravstvenih storitev in nerealiziranih širitev programov po Uredbi.</w:t>
      </w:r>
      <w:r w:rsidRPr="0073792A">
        <w:rPr>
          <w:rFonts w:ascii="Calibri" w:hAnsi="Calibri" w:cstheme="minorHAnsi"/>
        </w:rPr>
        <w:t xml:space="preserve"> </w:t>
      </w:r>
      <w:r w:rsidRPr="0073792A">
        <w:rPr>
          <w:rFonts w:ascii="Calibri" w:hAnsi="Calibri" w:cstheme="minorHAnsi"/>
          <w:bCs/>
          <w:color w:val="auto"/>
        </w:rPr>
        <w:t>Končni obračun zdravstvenih storitev za leto 2024 bo izveden do konca meseca januarja 2025, ko bodo znani tudi podatki o obsegu opravljenih storitev in obveznostih ZZZS za za leto 2024.</w:t>
      </w:r>
    </w:p>
    <w:p w14:paraId="6A9531BC" w14:textId="77777777" w:rsidR="0073792A" w:rsidRPr="0073792A" w:rsidRDefault="0073792A" w:rsidP="00C35322">
      <w:pPr>
        <w:pStyle w:val="Telobesedila1"/>
        <w:spacing w:line="240" w:lineRule="exact"/>
        <w:rPr>
          <w:rFonts w:ascii="Calibri" w:hAnsi="Calibri" w:cstheme="minorHAnsi"/>
          <w:color w:val="auto"/>
        </w:rPr>
      </w:pPr>
      <w:r w:rsidRPr="0073792A">
        <w:rPr>
          <w:rFonts w:ascii="Calibri" w:hAnsi="Calibri" w:cstheme="minorHAnsi"/>
          <w:i/>
          <w:color w:val="auto"/>
          <w:u w:val="single"/>
        </w:rPr>
        <w:t>Odhodki za zdravila, medicinske pripomočke in cepiva</w:t>
      </w:r>
      <w:r w:rsidRPr="0073792A">
        <w:rPr>
          <w:rFonts w:ascii="Calibri" w:hAnsi="Calibri" w:cstheme="minorHAnsi"/>
          <w:color w:val="auto"/>
        </w:rPr>
        <w:t xml:space="preserve"> znašajo 939,5 milijona evrov in so v okviru načrtovanih vrednosti (93,3 % načrtovanih odhodkov). V primerjavi z letom 2023 so večji za 45 % </w:t>
      </w:r>
      <w:r w:rsidRPr="0073792A">
        <w:rPr>
          <w:rFonts w:ascii="Calibri" w:hAnsi="Calibri" w:cstheme="minorHAnsi"/>
        </w:rPr>
        <w:t xml:space="preserve">oz. za 291,4 milijona evrov, največ zaradi plačevanja storitev v polni vrednosti z letom 2024. Ti odhodki v strukturi vseh odhodkov ZZZS predstavljajo 17,9 %.   </w:t>
      </w:r>
    </w:p>
    <w:p w14:paraId="78A1E5DD" w14:textId="77777777" w:rsidR="0073792A" w:rsidRPr="0073792A" w:rsidRDefault="0073792A" w:rsidP="00C35322">
      <w:pPr>
        <w:pStyle w:val="Telobesedila1"/>
        <w:spacing w:line="240" w:lineRule="exact"/>
        <w:rPr>
          <w:rFonts w:ascii="Calibri" w:hAnsi="Calibri" w:cstheme="minorHAnsi"/>
          <w:snapToGrid/>
        </w:rPr>
      </w:pPr>
      <w:r w:rsidRPr="0073792A">
        <w:rPr>
          <w:rFonts w:ascii="Calibri" w:hAnsi="Calibri" w:cstheme="minorHAnsi"/>
          <w:snapToGrid/>
        </w:rPr>
        <w:t xml:space="preserve">Največji delež (82,9 %) v tej skupini odhodkov predstavljajo </w:t>
      </w:r>
      <w:r w:rsidRPr="0073792A">
        <w:rPr>
          <w:rFonts w:ascii="Calibri" w:hAnsi="Calibri" w:cstheme="minorHAnsi"/>
          <w:i/>
          <w:iCs/>
          <w:snapToGrid/>
        </w:rPr>
        <w:t>odhodki za zdravila</w:t>
      </w:r>
      <w:r w:rsidRPr="0073792A">
        <w:rPr>
          <w:rFonts w:ascii="Calibri" w:hAnsi="Calibri" w:cstheme="minorHAnsi"/>
          <w:snapToGrid/>
        </w:rPr>
        <w:t xml:space="preserve">. V letu 2024 znašajo 779 milijonov evrov in predstavljajo 14,8 % vseh odhodkov ZZZS. V primerjavi z letom 2023 so večji za 49,6 % oziroma za 258,2 milijona evrov, </w:t>
      </w:r>
      <w:r w:rsidRPr="0073792A">
        <w:rPr>
          <w:rFonts w:ascii="Calibri" w:hAnsi="Calibri" w:cstheme="minorHAnsi"/>
        </w:rPr>
        <w:t xml:space="preserve">kar je v največji meri posledica ukinitve dopolnilnega zdravstvenega zavarovanja in plačila polne vrednosti za zdravila v breme obveznega zdravstvenega zavarovanja, v manjši meri pa tudi zaradi rasti predpisane količine zdravil, spremembe v strukturi predpisovanja v smeri novejših, dražjih zdravil in uvedbe novih zdravil. Odhodki za zdravila so manjši od načrtovanih in dosegajo 92,5 % načrtovanih odhodkov, kar je posledica izredno nizke realizacije v januarju 2024 (več zaračunanih zdravil konec leta 2023 zaradi ukinitve dopolnilnega zdravstvenega zavarovanja) in tudi znižanja cen zaradi prihoda generičnih zdravil na trg po padcu patentne zaščite originalnih zdravil ter vključitve novih generičnih zdravil v sistem najvišjih priznanih vrednosti. </w:t>
      </w:r>
      <w:r w:rsidRPr="0073792A">
        <w:rPr>
          <w:rFonts w:ascii="Calibri" w:hAnsi="Calibri" w:cstheme="minorHAnsi"/>
          <w:snapToGrid/>
        </w:rPr>
        <w:t xml:space="preserve">V letu 2024 smo prejeli tudi 88,1 milijona evrov povračil iz naslova zdravil </w:t>
      </w:r>
      <w:r w:rsidRPr="0073792A">
        <w:rPr>
          <w:rFonts w:ascii="Calibri" w:hAnsi="Calibri" w:cstheme="minorHAnsi"/>
        </w:rPr>
        <w:t>na temelju dogovorov o ceni in povračilu stroškov za zdravila, ki jih je ZZZS sklenil s farmacevtskimi družbami, kar znižuje izkazano rast odhodkov za zdravila.</w:t>
      </w:r>
    </w:p>
    <w:p w14:paraId="75FC570D" w14:textId="77777777" w:rsidR="0073792A" w:rsidRPr="0073792A" w:rsidRDefault="0073792A" w:rsidP="00C35322">
      <w:pPr>
        <w:pStyle w:val="Telobesedila"/>
        <w:spacing w:before="240"/>
        <w:rPr>
          <w:rFonts w:cstheme="minorHAnsi"/>
        </w:rPr>
      </w:pPr>
      <w:r w:rsidRPr="0073792A">
        <w:rPr>
          <w:rFonts w:cstheme="minorHAnsi"/>
          <w:i/>
        </w:rPr>
        <w:t>Odhodki za medicinske pripomočke</w:t>
      </w:r>
      <w:r w:rsidRPr="0073792A">
        <w:rPr>
          <w:rFonts w:cstheme="minorHAnsi"/>
        </w:rPr>
        <w:t xml:space="preserve"> so znašali 150,5 milijona evrov (2,9 % vseh odhodkov ZZZS). V primerjavi z letom 2023 so za 28,7 % ali 33,6 </w:t>
      </w:r>
      <w:r w:rsidRPr="0073792A">
        <w:rPr>
          <w:rFonts w:cstheme="minorHAnsi"/>
          <w:snapToGrid w:val="0"/>
          <w:color w:val="000000"/>
        </w:rPr>
        <w:t xml:space="preserve">milijona </w:t>
      </w:r>
      <w:r w:rsidRPr="0073792A">
        <w:rPr>
          <w:rFonts w:cstheme="minorHAnsi"/>
        </w:rPr>
        <w:t>evrov večji, kar je posledica ukinitve dopolnilnega zdravstvenega zavarovanja in plačila polne vrednosti medicinskih pripomočkov v breme obveznega zdravstvenega zavarovanja ter deloma posledica širitve pravic do medicinskih pripomočkov in popravkov cenovnih standardov. Ti odhodki so v okviru načrtovanih vrednosti (98,3 % načrtovanih odhodkov).</w:t>
      </w:r>
    </w:p>
    <w:p w14:paraId="6CA49305" w14:textId="77777777" w:rsidR="0073792A" w:rsidRPr="0073792A" w:rsidRDefault="0073792A" w:rsidP="00C35322">
      <w:pPr>
        <w:pStyle w:val="Telobesedila1"/>
        <w:spacing w:line="240" w:lineRule="exact"/>
        <w:rPr>
          <w:rFonts w:ascii="Calibri" w:hAnsi="Calibri" w:cstheme="minorHAnsi"/>
        </w:rPr>
      </w:pPr>
      <w:r w:rsidRPr="0073792A">
        <w:rPr>
          <w:rFonts w:ascii="Calibri" w:hAnsi="Calibri" w:cstheme="minorHAnsi"/>
          <w:i/>
        </w:rPr>
        <w:t>Odhodki za cepiva</w:t>
      </w:r>
      <w:r w:rsidRPr="0073792A">
        <w:rPr>
          <w:rFonts w:ascii="Calibri" w:hAnsi="Calibri" w:cstheme="minorHAnsi"/>
        </w:rPr>
        <w:t xml:space="preserve"> v strukturi vseh odhodkov ZZZS predstavljajo 0,2 % in znašajo 10 milijonov evrov. V primerjavi z načrtovanimi zaostajajo za 14,1 %.   </w:t>
      </w:r>
    </w:p>
    <w:p w14:paraId="00A9060E" w14:textId="77777777" w:rsidR="0073792A" w:rsidRPr="0073792A" w:rsidRDefault="0073792A" w:rsidP="00C35322">
      <w:pPr>
        <w:pStyle w:val="Telobesedila"/>
        <w:spacing w:before="240"/>
        <w:rPr>
          <w:rFonts w:cstheme="minorHAnsi"/>
          <w:snapToGrid w:val="0"/>
          <w:color w:val="000000"/>
        </w:rPr>
      </w:pPr>
      <w:r w:rsidRPr="0073792A">
        <w:rPr>
          <w:rFonts w:cstheme="minorHAnsi"/>
          <w:i/>
          <w:iCs/>
          <w:snapToGrid w:val="0"/>
          <w:color w:val="000000"/>
          <w:u w:val="single"/>
        </w:rPr>
        <w:t>Odhodki za zdravljenje v tujini in iz naslova mednarodnih sporazumov</w:t>
      </w:r>
      <w:r w:rsidRPr="0073792A">
        <w:rPr>
          <w:rFonts w:cstheme="minorHAnsi"/>
          <w:snapToGrid w:val="0"/>
          <w:color w:val="000000"/>
        </w:rPr>
        <w:t xml:space="preserve"> so v letu 2024 znašali 96,3 milijona evrov in so za 19 % oz. za 15,4 milijona evrov večji kot leta 2023, deloma zaradi učinkov ukinitve dopolnilnega zdravstvenega zavarovanja in plačila polne vrednosti v breme obveznega zdravstvenega zavarovanja ter večjih odhodkov upoštevaje tudi princip reciprocitete plačil za posamezno državo (obojestransko plačilo za isto obdobje). Ti odhodki so v okviru načrtovanih vrednosti (97 % načrtovanih odhodkov).</w:t>
      </w:r>
    </w:p>
    <w:p w14:paraId="56FA0F41" w14:textId="77777777" w:rsidR="00FE476B" w:rsidRPr="0073792A" w:rsidRDefault="00FE476B" w:rsidP="00C35322">
      <w:pPr>
        <w:pStyle w:val="Bodyleftbold"/>
        <w:spacing w:line="240" w:lineRule="exact"/>
        <w:rPr>
          <w:rFonts w:ascii="Calibri" w:hAnsi="Calibri" w:cstheme="minorHAnsi"/>
        </w:rPr>
      </w:pPr>
    </w:p>
    <w:p w14:paraId="52282414" w14:textId="77777777" w:rsidR="00FE476B" w:rsidRPr="0073792A" w:rsidRDefault="00FE476B" w:rsidP="00C35322">
      <w:pPr>
        <w:pStyle w:val="Bodyleftbold"/>
        <w:spacing w:line="240" w:lineRule="exact"/>
        <w:rPr>
          <w:rFonts w:ascii="Calibri" w:hAnsi="Calibri" w:cstheme="minorHAnsi"/>
        </w:rPr>
      </w:pPr>
      <w:r w:rsidRPr="0073792A">
        <w:rPr>
          <w:rFonts w:ascii="Calibri" w:hAnsi="Calibri" w:cstheme="minorHAnsi"/>
        </w:rPr>
        <w:lastRenderedPageBreak/>
        <w:t>b) Odhodki za povračilo denarnih dajatev</w:t>
      </w:r>
    </w:p>
    <w:p w14:paraId="127E59C6" w14:textId="77777777" w:rsidR="0073792A" w:rsidRPr="0073792A" w:rsidRDefault="0073792A" w:rsidP="00C35322">
      <w:pPr>
        <w:pStyle w:val="Telobesedila1"/>
        <w:spacing w:line="240" w:lineRule="exact"/>
        <w:rPr>
          <w:rFonts w:ascii="Calibri" w:hAnsi="Calibri" w:cstheme="minorHAnsi"/>
          <w:color w:val="auto"/>
        </w:rPr>
      </w:pPr>
      <w:r w:rsidRPr="0073792A">
        <w:rPr>
          <w:rFonts w:ascii="Calibri" w:hAnsi="Calibri" w:cstheme="minorHAnsi"/>
          <w:color w:val="auto"/>
        </w:rPr>
        <w:t>Odhodki za povračilo denarnih dajatev za pravice iz obveznega zdravstvenega zavarovanja (nadomestila, potni stroški) so realizirani v višini 641,2 milijona evrov in so za 5,3 % ali za 32 milijonov evrov večji v primerjavi z letom 2023 in v obsegu načrtovanih.</w:t>
      </w:r>
    </w:p>
    <w:p w14:paraId="579C8525" w14:textId="54F026C1" w:rsidR="0073792A" w:rsidRPr="0073792A" w:rsidRDefault="0073792A" w:rsidP="00C35322">
      <w:pPr>
        <w:pStyle w:val="Telobesedila1"/>
        <w:spacing w:line="240" w:lineRule="exact"/>
        <w:rPr>
          <w:rFonts w:ascii="Calibri" w:hAnsi="Calibri" w:cstheme="minorHAnsi"/>
        </w:rPr>
      </w:pPr>
      <w:r w:rsidRPr="0073792A">
        <w:rPr>
          <w:rFonts w:ascii="Calibri" w:hAnsi="Calibri" w:cstheme="minorHAnsi"/>
          <w:iCs/>
        </w:rPr>
        <w:t>Največji delež (99,6 %) predstavljajo</w:t>
      </w:r>
      <w:r w:rsidRPr="0073792A">
        <w:rPr>
          <w:rFonts w:ascii="Calibri" w:hAnsi="Calibri" w:cstheme="minorHAnsi"/>
          <w:i/>
          <w:u w:val="single"/>
        </w:rPr>
        <w:t xml:space="preserve"> odhodki za nadomestila plače zaradi začasne zadržanosti od dela</w:t>
      </w:r>
      <w:r w:rsidRPr="0073792A">
        <w:rPr>
          <w:rFonts w:ascii="Calibri" w:hAnsi="Calibri" w:cstheme="minorHAnsi"/>
          <w:i/>
        </w:rPr>
        <w:t xml:space="preserve">. </w:t>
      </w:r>
      <w:r w:rsidRPr="0073792A">
        <w:rPr>
          <w:rFonts w:ascii="Calibri" w:hAnsi="Calibri" w:cstheme="minorHAnsi"/>
          <w:iCs/>
        </w:rPr>
        <w:t>V letu 2024</w:t>
      </w:r>
      <w:r w:rsidRPr="0073792A">
        <w:rPr>
          <w:rFonts w:ascii="Calibri" w:hAnsi="Calibri" w:cstheme="minorHAnsi"/>
          <w:i/>
        </w:rPr>
        <w:t xml:space="preserve"> </w:t>
      </w:r>
      <w:r w:rsidRPr="0073792A">
        <w:rPr>
          <w:rFonts w:ascii="Calibri" w:hAnsi="Calibri" w:cstheme="minorHAnsi"/>
        </w:rPr>
        <w:t xml:space="preserve">so znašali 638,8 milijona evrov in so v okviru načrtovanih (99,5 % načrtovanih odhodkov). Glede na leto 2023 so večji le za 5,2 % oz. za 31,9 milijona evrov in poleg rasti osnove za nadomestilo plače, vključujejo še ugodne finančne učinke interventne zakonodaje na področju zdravstva (ZIUZDS), s katero je bil zagotovljen ponovni prenos obveznosti nadomestila plače v breme ZZZS iz 20 na 30 dni in omejitev višine nadomestila plače na 2,5 kratnik povprečne plače. </w:t>
      </w:r>
    </w:p>
    <w:p w14:paraId="04403D6B" w14:textId="77777777" w:rsidR="0073792A" w:rsidRPr="0073792A" w:rsidRDefault="0073792A" w:rsidP="00C35322">
      <w:pPr>
        <w:pStyle w:val="Telobesedila1"/>
        <w:spacing w:line="240" w:lineRule="exact"/>
        <w:rPr>
          <w:rFonts w:ascii="Calibri" w:hAnsi="Calibri" w:cstheme="minorHAnsi"/>
        </w:rPr>
      </w:pPr>
    </w:p>
    <w:p w14:paraId="12993B9A" w14:textId="1633ADBA" w:rsidR="00FE476B" w:rsidRPr="0073792A" w:rsidRDefault="00FE476B" w:rsidP="00C35322">
      <w:pPr>
        <w:pStyle w:val="Bodyleftbold"/>
        <w:spacing w:line="240" w:lineRule="exact"/>
        <w:rPr>
          <w:rFonts w:ascii="Calibri" w:hAnsi="Calibri" w:cstheme="minorHAnsi"/>
        </w:rPr>
      </w:pPr>
      <w:r w:rsidRPr="0073792A">
        <w:rPr>
          <w:rFonts w:ascii="Calibri" w:hAnsi="Calibri" w:cstheme="minorHAnsi"/>
        </w:rPr>
        <w:t>c) Odhodki za delo službe ZZZS</w:t>
      </w:r>
    </w:p>
    <w:p w14:paraId="689CAAD9" w14:textId="77777777" w:rsidR="0073792A" w:rsidRPr="0073792A" w:rsidRDefault="0073792A" w:rsidP="00C35322">
      <w:pPr>
        <w:pStyle w:val="Bodyleftbold"/>
        <w:spacing w:line="240" w:lineRule="exact"/>
        <w:rPr>
          <w:rFonts w:ascii="Calibri" w:hAnsi="Calibri" w:cstheme="minorHAnsi"/>
          <w:b w:val="0"/>
          <w:bCs/>
        </w:rPr>
      </w:pPr>
      <w:r w:rsidRPr="0073792A">
        <w:rPr>
          <w:rFonts w:ascii="Calibri" w:hAnsi="Calibri" w:cstheme="minorHAnsi"/>
          <w:b w:val="0"/>
          <w:bCs/>
        </w:rPr>
        <w:t xml:space="preserve">Odhodki za delo službe ZZZS so v letu 2024 znašali 64,2 milijona evrov (1,2 % vseh odhodkov ZZZS) in so pod načrtovanimi za 4,3 %. V primerjavi z letom 2023 so večji za 15,6 %. Takšna rast je posledica izredno nizke realizacije investicijskih odhodkov in materialnih stroškov v predhodnem letu. </w:t>
      </w:r>
    </w:p>
    <w:p w14:paraId="60EF71AB" w14:textId="22B91FFA" w:rsidR="0073792A" w:rsidRPr="0073792A" w:rsidRDefault="00FE476B" w:rsidP="00C35322">
      <w:pPr>
        <w:pStyle w:val="Subhead1"/>
        <w:numPr>
          <w:ilvl w:val="0"/>
          <w:numId w:val="14"/>
        </w:numPr>
        <w:tabs>
          <w:tab w:val="clear" w:pos="850"/>
        </w:tabs>
        <w:spacing w:line="240" w:lineRule="exact"/>
        <w:rPr>
          <w:rFonts w:ascii="Calibri" w:hAnsi="Calibri" w:cstheme="minorHAnsi"/>
          <w:sz w:val="22"/>
          <w:szCs w:val="22"/>
        </w:rPr>
      </w:pPr>
      <w:r w:rsidRPr="0073792A">
        <w:rPr>
          <w:rFonts w:ascii="Calibri" w:hAnsi="Calibri" w:cstheme="minorHAnsi"/>
          <w:sz w:val="22"/>
          <w:szCs w:val="22"/>
        </w:rPr>
        <w:t xml:space="preserve">Agentski posli </w:t>
      </w:r>
    </w:p>
    <w:p w14:paraId="64E15001" w14:textId="77777777" w:rsidR="0073792A" w:rsidRPr="0073792A" w:rsidRDefault="0073792A" w:rsidP="00C35322">
      <w:pPr>
        <w:pStyle w:val="Telobesedila1"/>
        <w:spacing w:before="0" w:line="240" w:lineRule="exact"/>
        <w:rPr>
          <w:rFonts w:ascii="Calibri" w:hAnsi="Calibri" w:cs="Calibri"/>
          <w:spacing w:val="2"/>
        </w:rPr>
      </w:pPr>
      <w:r w:rsidRPr="0073792A">
        <w:rPr>
          <w:rFonts w:ascii="Calibri" w:hAnsi="Calibri" w:cstheme="minorHAnsi"/>
        </w:rPr>
        <w:t>ZZZS je v letu 2024 za izvajanje agentskih poslov iz državnega proračuna prejel</w:t>
      </w:r>
      <w:r w:rsidRPr="0073792A" w:rsidDel="00593D1C">
        <w:rPr>
          <w:rFonts w:ascii="Calibri" w:hAnsi="Calibri" w:cstheme="minorHAnsi"/>
        </w:rPr>
        <w:t xml:space="preserve"> </w:t>
      </w:r>
      <w:r w:rsidRPr="0073792A">
        <w:rPr>
          <w:rFonts w:ascii="Calibri" w:hAnsi="Calibri" w:cstheme="minorHAnsi"/>
        </w:rPr>
        <w:t xml:space="preserve">95 milijonov evrov, brez vpliva na prihodke in odhodke ZZZS. Gre za vlogo posrednika pri izplačevanju, ko ZZZS v imenu in za račun državnega proračuna izvaja določene finančne transakcije. Med agentske posle sodijo </w:t>
      </w:r>
      <w:r w:rsidRPr="0073792A">
        <w:rPr>
          <w:rFonts w:ascii="Calibri" w:hAnsi="Calibri" w:cs="Calibri"/>
          <w:spacing w:val="2"/>
        </w:rPr>
        <w:t xml:space="preserve">sredstva iz naslova povračil že izplačanih plač in nadomestil plač pripravnikov, sekundarijev in specializantov. Iz tega naslova je ZZZS v letu 2024 iz državnega proračuna prejel in plačal izvajalcem zdravstvenih storitev 92,8 milijona evrov. </w:t>
      </w:r>
      <w:r w:rsidRPr="0073792A">
        <w:rPr>
          <w:rFonts w:ascii="Calibri" w:hAnsi="Calibri" w:cstheme="minorHAnsi"/>
        </w:rPr>
        <w:t>V manjšem obsegu so še prisotni finančni učinki začasnih ukrepov, ki so bili določeni z interventno zakonodajo za omilitev posledic nalezljive bolezni Covid-19 in iz naslova dodatkov za povečan obseg dela za posebne obremenitve ter za zaposlitev dodatnega zdravstvenega kadra. ZZZS je v letu 2024 za te namene iz državnega proračuna prejel</w:t>
      </w:r>
      <w:r w:rsidRPr="0073792A" w:rsidDel="00593D1C">
        <w:rPr>
          <w:rFonts w:ascii="Calibri" w:hAnsi="Calibri" w:cstheme="minorHAnsi"/>
        </w:rPr>
        <w:t xml:space="preserve"> </w:t>
      </w:r>
      <w:r w:rsidRPr="0073792A">
        <w:rPr>
          <w:rFonts w:ascii="Calibri" w:hAnsi="Calibri" w:cstheme="minorHAnsi"/>
        </w:rPr>
        <w:t xml:space="preserve">2,2 milijona evrov, nato pa izvajalcem zdravstvenih storitev zahtevke tudi poravnal. </w:t>
      </w:r>
    </w:p>
    <w:p w14:paraId="10749885" w14:textId="77777777" w:rsidR="00FE476B" w:rsidRPr="0073792A" w:rsidRDefault="00FE476B" w:rsidP="00C35322">
      <w:pPr>
        <w:pStyle w:val="Subhead1"/>
        <w:numPr>
          <w:ilvl w:val="0"/>
          <w:numId w:val="14"/>
        </w:numPr>
        <w:tabs>
          <w:tab w:val="clear" w:pos="850"/>
        </w:tabs>
        <w:spacing w:line="240" w:lineRule="exact"/>
        <w:rPr>
          <w:rFonts w:ascii="Calibri" w:hAnsi="Calibri" w:cstheme="minorHAnsi"/>
          <w:sz w:val="22"/>
          <w:szCs w:val="22"/>
        </w:rPr>
      </w:pPr>
      <w:r w:rsidRPr="0073792A">
        <w:rPr>
          <w:rFonts w:ascii="Calibri" w:hAnsi="Calibri" w:cstheme="minorHAnsi"/>
          <w:sz w:val="22"/>
          <w:szCs w:val="22"/>
        </w:rPr>
        <w:t xml:space="preserve">Zaključne ugotovitve </w:t>
      </w:r>
    </w:p>
    <w:p w14:paraId="11BCF7CA" w14:textId="77777777" w:rsidR="0073792A" w:rsidRPr="0073792A" w:rsidRDefault="0073792A" w:rsidP="00C35322">
      <w:pPr>
        <w:rPr>
          <w:rFonts w:cstheme="minorHAnsi"/>
        </w:rPr>
      </w:pPr>
      <w:r w:rsidRPr="0073792A">
        <w:rPr>
          <w:rFonts w:cstheme="minorHAnsi"/>
        </w:rPr>
        <w:t>ZZZS je leto 2024 zaključil s presežkom prihodkov nad odhodki v višini 79,1 milijona evrov, kar je posledica nižjih odhodkov iz naslova manjše realizacije obsega programa zdravstvenih storitev in odhodkov za zdravila. Izkazan presežek pomeni povečanje sredstev na računih in povečuje lastne vire. Konec leta 2024 znašajo sredstva na računih 87,8 milijona evrov. Razpoložljiva sredstva bodo lahko namenjena financiranju razkoraka med rastjo prihodkov in odhodkov v naslednjih letih ob pogoju zagotovitve ustreznega najvišjega možnega obsega izdatkov zdravstvene blagajne po odloku Državnega zbora RS.</w:t>
      </w:r>
    </w:p>
    <w:p w14:paraId="31BBAD95" w14:textId="77777777" w:rsidR="00B605B3" w:rsidRPr="0073792A" w:rsidRDefault="00B605B3" w:rsidP="00C35322">
      <w:pPr>
        <w:tabs>
          <w:tab w:val="clear" w:pos="5670"/>
        </w:tabs>
        <w:jc w:val="left"/>
        <w:rPr>
          <w:rFonts w:cstheme="minorHAnsi"/>
          <w:bCs/>
          <w:color w:val="000000"/>
        </w:rPr>
      </w:pPr>
    </w:p>
    <w:p w14:paraId="50D62A9B" w14:textId="35D46F39" w:rsidR="001B4A2E" w:rsidRPr="0073792A" w:rsidRDefault="007C4C18" w:rsidP="00C35322">
      <w:pPr>
        <w:tabs>
          <w:tab w:val="clear" w:pos="5670"/>
        </w:tabs>
        <w:jc w:val="left"/>
        <w:rPr>
          <w:rFonts w:cstheme="minorHAnsi"/>
          <w:color w:val="000000"/>
          <w:lang w:eastAsia="sl-SI"/>
        </w:rPr>
      </w:pPr>
      <w:r w:rsidRPr="0073792A">
        <w:rPr>
          <w:rFonts w:cstheme="minorHAnsi"/>
          <w:bCs/>
          <w:color w:val="000000"/>
        </w:rPr>
        <w:tab/>
      </w:r>
      <w:r w:rsidR="005E6A8B" w:rsidRPr="0073792A">
        <w:rPr>
          <w:rFonts w:cstheme="minorHAnsi"/>
          <w:bCs/>
          <w:color w:val="000000"/>
        </w:rPr>
        <w:tab/>
      </w:r>
      <w:r w:rsidR="005E6A8B" w:rsidRPr="0073792A">
        <w:rPr>
          <w:rFonts w:cstheme="minorHAnsi"/>
          <w:bCs/>
          <w:color w:val="000000"/>
        </w:rPr>
        <w:tab/>
      </w:r>
      <w:r w:rsidR="005E6A8B" w:rsidRPr="0073792A">
        <w:rPr>
          <w:rFonts w:cstheme="minorHAnsi"/>
          <w:bCs/>
          <w:color w:val="000000"/>
        </w:rPr>
        <w:tab/>
      </w:r>
      <w:r w:rsidR="005E6A8B" w:rsidRPr="0073792A">
        <w:rPr>
          <w:rFonts w:cstheme="minorHAnsi"/>
          <w:bCs/>
          <w:color w:val="000000"/>
        </w:rPr>
        <w:tab/>
      </w:r>
      <w:r w:rsidR="005E6A8B" w:rsidRPr="0073792A">
        <w:rPr>
          <w:rFonts w:cstheme="minorHAnsi"/>
          <w:bCs/>
          <w:color w:val="000000"/>
        </w:rPr>
        <w:tab/>
      </w:r>
      <w:r w:rsidR="005E6A8B" w:rsidRPr="0073792A">
        <w:rPr>
          <w:rFonts w:cstheme="minorHAnsi"/>
          <w:bCs/>
          <w:color w:val="000000"/>
        </w:rPr>
        <w:tab/>
        <w:t xml:space="preserve">         </w:t>
      </w:r>
      <w:r w:rsidR="001B4A2E" w:rsidRPr="0073792A">
        <w:rPr>
          <w:rFonts w:cstheme="minorHAnsi"/>
          <w:bCs/>
          <w:color w:val="000000"/>
        </w:rPr>
        <w:t xml:space="preserve">ZAVOD ZA ZDRAVSTVENO </w:t>
      </w:r>
    </w:p>
    <w:p w14:paraId="4D1FA46B" w14:textId="0188B4CE" w:rsidR="00B500C0" w:rsidRPr="0073792A" w:rsidRDefault="005E6A8B" w:rsidP="00C35322">
      <w:pPr>
        <w:tabs>
          <w:tab w:val="clear" w:pos="5670"/>
          <w:tab w:val="left" w:pos="5387"/>
        </w:tabs>
        <w:autoSpaceDE w:val="0"/>
        <w:autoSpaceDN w:val="0"/>
        <w:adjustRightInd w:val="0"/>
        <w:ind w:left="142"/>
        <w:rPr>
          <w:rFonts w:cstheme="minorHAnsi"/>
          <w:bCs/>
          <w:color w:val="000000"/>
        </w:rPr>
      </w:pPr>
      <w:r w:rsidRPr="0073792A">
        <w:rPr>
          <w:rFonts w:cstheme="minorHAnsi"/>
          <w:bCs/>
          <w:color w:val="000000"/>
        </w:rPr>
        <w:tab/>
      </w:r>
      <w:r w:rsidR="001B4A2E" w:rsidRPr="0073792A">
        <w:rPr>
          <w:rFonts w:cstheme="minorHAnsi"/>
          <w:bCs/>
          <w:color w:val="000000"/>
        </w:rPr>
        <w:t>ZAVAROVANJE SLOVENIJE</w:t>
      </w:r>
    </w:p>
    <w:sectPr w:rsidR="00B500C0" w:rsidRPr="0073792A" w:rsidSect="00EB67D2">
      <w:footerReference w:type="default" r:id="rId10"/>
      <w:headerReference w:type="first" r:id="rId11"/>
      <w:pgSz w:w="11906" w:h="16838"/>
      <w:pgMar w:top="2268" w:right="1701"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71E2" w14:textId="77777777" w:rsidR="00405263" w:rsidRDefault="00405263" w:rsidP="001F51E9">
      <w:pPr>
        <w:spacing w:line="240" w:lineRule="auto"/>
      </w:pPr>
      <w:r>
        <w:separator/>
      </w:r>
    </w:p>
  </w:endnote>
  <w:endnote w:type="continuationSeparator" w:id="0">
    <w:p w14:paraId="324D7504" w14:textId="77777777" w:rsidR="00405263" w:rsidRDefault="00405263" w:rsidP="001F51E9">
      <w:pPr>
        <w:spacing w:line="240" w:lineRule="auto"/>
      </w:pPr>
      <w:r>
        <w:continuationSeparator/>
      </w:r>
    </w:p>
  </w:endnote>
  <w:endnote w:type="continuationNotice" w:id="1">
    <w:p w14:paraId="7C575313" w14:textId="77777777" w:rsidR="008E637D" w:rsidRDefault="008E63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CE SLO">
    <w:altName w:val="Times New Roman"/>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794080"/>
      <w:docPartObj>
        <w:docPartGallery w:val="Page Numbers (Bottom of Page)"/>
        <w:docPartUnique/>
      </w:docPartObj>
    </w:sdtPr>
    <w:sdtEndPr/>
    <w:sdtContent>
      <w:p w14:paraId="2298FE7A" w14:textId="547EEE6C" w:rsidR="001B4A2E" w:rsidRDefault="001B4A2E">
        <w:pPr>
          <w:pStyle w:val="Noga"/>
          <w:jc w:val="center"/>
        </w:pPr>
        <w:r>
          <w:fldChar w:fldCharType="begin"/>
        </w:r>
        <w:r>
          <w:instrText>PAGE   \* MERGEFORMAT</w:instrText>
        </w:r>
        <w:r>
          <w:fldChar w:fldCharType="separate"/>
        </w:r>
        <w:r w:rsidR="006261CF">
          <w:rPr>
            <w:noProof/>
          </w:rPr>
          <w:t>3</w:t>
        </w:r>
        <w:r>
          <w:fldChar w:fldCharType="end"/>
        </w:r>
      </w:p>
    </w:sdtContent>
  </w:sdt>
  <w:p w14:paraId="75A52DB8" w14:textId="5C8AA2B3" w:rsidR="00F94033" w:rsidRDefault="00F94033" w:rsidP="004F30B9">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15E58" w14:textId="77777777" w:rsidR="00405263" w:rsidRDefault="00405263" w:rsidP="001F51E9">
      <w:pPr>
        <w:spacing w:line="240" w:lineRule="auto"/>
      </w:pPr>
      <w:r>
        <w:separator/>
      </w:r>
    </w:p>
  </w:footnote>
  <w:footnote w:type="continuationSeparator" w:id="0">
    <w:p w14:paraId="7676FDB7" w14:textId="77777777" w:rsidR="00405263" w:rsidRDefault="00405263" w:rsidP="001F51E9">
      <w:pPr>
        <w:spacing w:line="240" w:lineRule="auto"/>
      </w:pPr>
      <w:r>
        <w:continuationSeparator/>
      </w:r>
    </w:p>
  </w:footnote>
  <w:footnote w:type="continuationNotice" w:id="1">
    <w:p w14:paraId="5D1652DA" w14:textId="77777777" w:rsidR="008E637D" w:rsidRDefault="008E63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40"/>
      <w:gridCol w:w="2839"/>
      <w:gridCol w:w="2825"/>
    </w:tblGrid>
    <w:tr w:rsidR="00F94033" w:rsidRPr="007B6600" w14:paraId="75A52DBD" w14:textId="77777777" w:rsidTr="00CE24E4">
      <w:trPr>
        <w:trHeight w:hRule="exact" w:val="907"/>
      </w:trPr>
      <w:tc>
        <w:tcPr>
          <w:tcW w:w="2881" w:type="dxa"/>
          <w:shd w:val="clear" w:color="auto" w:fill="auto"/>
        </w:tcPr>
        <w:p w14:paraId="75A52DB9" w14:textId="77777777" w:rsidR="00F94033" w:rsidRPr="007B6600" w:rsidRDefault="00F94033" w:rsidP="00EA172B">
          <w:pPr>
            <w:pStyle w:val="Glava"/>
          </w:pPr>
          <w:r>
            <w:rPr>
              <w:noProof/>
              <w:lang w:eastAsia="sl-SI"/>
            </w:rPr>
            <w:drawing>
              <wp:inline distT="0" distB="0" distL="0" distR="0" wp14:anchorId="75A52DCE" wp14:editId="75A52DCF">
                <wp:extent cx="905773" cy="220047"/>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5A52DBA" w14:textId="77777777" w:rsidR="00F94033" w:rsidRPr="007B6600" w:rsidRDefault="00F94033" w:rsidP="00CE24E4">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75A52DBB" w14:textId="77777777" w:rsidR="00F94033" w:rsidRPr="007B6600" w:rsidRDefault="00F94033" w:rsidP="007B6600">
          <w:pPr>
            <w:pStyle w:val="Glava"/>
            <w:jc w:val="center"/>
          </w:pPr>
          <w:r>
            <w:rPr>
              <w:noProof/>
              <w:lang w:eastAsia="sl-SI"/>
            </w:rPr>
            <w:drawing>
              <wp:inline distT="0" distB="0" distL="0" distR="0" wp14:anchorId="75A52DD0" wp14:editId="75A52DD1">
                <wp:extent cx="896513" cy="552090"/>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75A52DBC" w14:textId="57DF0201" w:rsidR="00F94033" w:rsidRPr="007B6600" w:rsidRDefault="00F94033" w:rsidP="00CC1590">
          <w:pPr>
            <w:pStyle w:val="Glava"/>
            <w:jc w:val="right"/>
          </w:pPr>
        </w:p>
      </w:tc>
    </w:tr>
    <w:tr w:rsidR="00F94033" w:rsidRPr="007B6600" w14:paraId="75A52DC1" w14:textId="77777777" w:rsidTr="00CE24E4">
      <w:trPr>
        <w:trHeight w:hRule="exact" w:val="113"/>
      </w:trPr>
      <w:tc>
        <w:tcPr>
          <w:tcW w:w="2881" w:type="dxa"/>
          <w:shd w:val="clear" w:color="auto" w:fill="auto"/>
        </w:tcPr>
        <w:p w14:paraId="75A52DBE" w14:textId="77777777" w:rsidR="00F94033" w:rsidRPr="00CE24E4" w:rsidRDefault="00F94033" w:rsidP="00EA172B">
          <w:pPr>
            <w:pStyle w:val="Glava"/>
            <w:rPr>
              <w:b/>
              <w:noProof/>
              <w:lang w:eastAsia="sl-SI"/>
            </w:rPr>
          </w:pPr>
        </w:p>
      </w:tc>
      <w:tc>
        <w:tcPr>
          <w:tcW w:w="2881" w:type="dxa"/>
          <w:shd w:val="clear" w:color="auto" w:fill="auto"/>
        </w:tcPr>
        <w:p w14:paraId="75A52DBF" w14:textId="77777777" w:rsidR="00F94033" w:rsidRPr="007B6600" w:rsidRDefault="00F94033" w:rsidP="007B6600">
          <w:pPr>
            <w:pStyle w:val="Glava"/>
            <w:jc w:val="center"/>
            <w:rPr>
              <w:noProof/>
              <w:lang w:eastAsia="sl-SI"/>
            </w:rPr>
          </w:pPr>
        </w:p>
      </w:tc>
      <w:tc>
        <w:tcPr>
          <w:tcW w:w="2882" w:type="dxa"/>
          <w:shd w:val="clear" w:color="auto" w:fill="auto"/>
          <w:tcMar>
            <w:left w:w="0" w:type="dxa"/>
          </w:tcMar>
        </w:tcPr>
        <w:p w14:paraId="75A52DC0" w14:textId="77777777" w:rsidR="00F94033" w:rsidRPr="007B6600" w:rsidRDefault="00F94033" w:rsidP="00EA172B">
          <w:pPr>
            <w:pStyle w:val="Glava"/>
          </w:pPr>
        </w:p>
      </w:tc>
    </w:tr>
    <w:tr w:rsidR="00BF55B1" w:rsidRPr="007B6600" w14:paraId="75A52DCB" w14:textId="77777777" w:rsidTr="00EA172B">
      <w:tc>
        <w:tcPr>
          <w:tcW w:w="5762" w:type="dxa"/>
          <w:gridSpan w:val="2"/>
          <w:shd w:val="clear" w:color="auto" w:fill="auto"/>
        </w:tcPr>
        <w:p w14:paraId="75A52DC2" w14:textId="77777777" w:rsidR="00BF55B1" w:rsidRDefault="00BF55B1" w:rsidP="00F617E6">
          <w:pPr>
            <w:pStyle w:val="Ulica"/>
            <w:rPr>
              <w:b/>
            </w:rPr>
          </w:pPr>
          <w:r w:rsidRPr="00A25A3B">
            <w:rPr>
              <w:b/>
            </w:rPr>
            <w:t>Direkcija</w:t>
          </w:r>
        </w:p>
        <w:p w14:paraId="1632B808" w14:textId="2BFD15C6" w:rsidR="001A2413" w:rsidRDefault="001A2413" w:rsidP="00F617E6">
          <w:pPr>
            <w:pStyle w:val="Ulica"/>
          </w:pPr>
          <w:r>
            <w:t>Sektor za informiranje in odnose z javnostmi</w:t>
          </w:r>
        </w:p>
        <w:p w14:paraId="75A52DC3" w14:textId="684E12C3" w:rsidR="00BF55B1" w:rsidRPr="00BA612C" w:rsidRDefault="00BF55B1" w:rsidP="00F617E6">
          <w:pPr>
            <w:pStyle w:val="Ulica"/>
          </w:pPr>
          <w:r>
            <w:t>Miklošičeva cesta 24</w:t>
          </w:r>
        </w:p>
        <w:p w14:paraId="75A52DC4" w14:textId="77777777" w:rsidR="00BF55B1" w:rsidRDefault="00BF55B1" w:rsidP="00F617E6">
          <w:pPr>
            <w:pStyle w:val="Ulica"/>
          </w:pPr>
          <w:r>
            <w:t>1507 Ljubljana</w:t>
          </w:r>
        </w:p>
        <w:p w14:paraId="75A52DC5" w14:textId="77777777" w:rsidR="00BF55B1" w:rsidRDefault="00BF55B1" w:rsidP="00F617E6">
          <w:pPr>
            <w:pStyle w:val="Ulica"/>
          </w:pPr>
        </w:p>
        <w:p w14:paraId="75A52DC6" w14:textId="77777777" w:rsidR="00BF55B1" w:rsidRPr="00BA612C" w:rsidRDefault="00BF55B1" w:rsidP="00F617E6">
          <w:pPr>
            <w:pStyle w:val="Ulica"/>
            <w:rPr>
              <w:lang w:eastAsia="sl-SI"/>
            </w:rPr>
          </w:pPr>
        </w:p>
      </w:tc>
      <w:tc>
        <w:tcPr>
          <w:tcW w:w="2882" w:type="dxa"/>
          <w:shd w:val="clear" w:color="auto" w:fill="auto"/>
          <w:tcMar>
            <w:left w:w="0" w:type="dxa"/>
          </w:tcMar>
        </w:tcPr>
        <w:p w14:paraId="75A52DC7" w14:textId="39673C29" w:rsidR="00BF55B1" w:rsidRDefault="00BF55B1" w:rsidP="00F617E6">
          <w:pPr>
            <w:pStyle w:val="Glava"/>
            <w:spacing w:line="240" w:lineRule="exact"/>
            <w:jc w:val="left"/>
            <w:rPr>
              <w:noProof/>
            </w:rPr>
          </w:pPr>
          <w:r w:rsidRPr="00BA612C">
            <w:t xml:space="preserve">Tel.: </w:t>
          </w:r>
          <w:r w:rsidR="001A2413">
            <w:rPr>
              <w:noProof/>
            </w:rPr>
            <w:t xml:space="preserve">01 30 77 </w:t>
          </w:r>
          <w:r w:rsidR="003731BC">
            <w:rPr>
              <w:noProof/>
            </w:rPr>
            <w:t>296</w:t>
          </w:r>
        </w:p>
        <w:p w14:paraId="75A52DC9" w14:textId="77777777" w:rsidR="00BF55B1" w:rsidRPr="00BA612C" w:rsidRDefault="00BF55B1" w:rsidP="00F617E6">
          <w:pPr>
            <w:pStyle w:val="Glava"/>
            <w:spacing w:line="240" w:lineRule="exact"/>
            <w:jc w:val="left"/>
          </w:pPr>
          <w:r w:rsidRPr="00BA612C">
            <w:t xml:space="preserve">E-pošta: </w:t>
          </w:r>
          <w:r>
            <w:rPr>
              <w:noProof/>
            </w:rPr>
            <w:t>di@zzzs.si</w:t>
          </w:r>
        </w:p>
        <w:p w14:paraId="75A52DCA" w14:textId="77777777" w:rsidR="00BF55B1" w:rsidRPr="00BA612C" w:rsidRDefault="00BF55B1" w:rsidP="00F617E6">
          <w:pPr>
            <w:pStyle w:val="Glava"/>
            <w:spacing w:line="240" w:lineRule="exact"/>
            <w:jc w:val="left"/>
          </w:pPr>
          <w:r w:rsidRPr="00BA612C">
            <w:t>www.zzzs.si</w:t>
          </w:r>
        </w:p>
      </w:tc>
    </w:tr>
  </w:tbl>
  <w:p w14:paraId="75A52DCC" w14:textId="77777777" w:rsidR="00F94033" w:rsidRDefault="00F94033"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2D361F"/>
    <w:multiLevelType w:val="hybridMultilevel"/>
    <w:tmpl w:val="EE143028"/>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3" w15:restartNumberingAfterBreak="0">
    <w:nsid w:val="26455F7E"/>
    <w:multiLevelType w:val="hybridMultilevel"/>
    <w:tmpl w:val="77B82E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703E9"/>
    <w:multiLevelType w:val="hybridMultilevel"/>
    <w:tmpl w:val="FC7CC2E2"/>
    <w:lvl w:ilvl="0" w:tplc="04240001">
      <w:start w:val="1"/>
      <w:numFmt w:val="bullet"/>
      <w:lvlText w:val=""/>
      <w:lvlJc w:val="left"/>
      <w:pPr>
        <w:ind w:left="1434" w:hanging="360"/>
      </w:pPr>
      <w:rPr>
        <w:rFonts w:ascii="Symbol" w:hAnsi="Symbol" w:hint="default"/>
      </w:rPr>
    </w:lvl>
    <w:lvl w:ilvl="1" w:tplc="04240003">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start w:val="1"/>
      <w:numFmt w:val="bullet"/>
      <w:lvlText w:val=""/>
      <w:lvlJc w:val="left"/>
      <w:pPr>
        <w:ind w:left="3594" w:hanging="360"/>
      </w:pPr>
      <w:rPr>
        <w:rFonts w:ascii="Symbol" w:hAnsi="Symbol" w:hint="default"/>
      </w:rPr>
    </w:lvl>
    <w:lvl w:ilvl="4" w:tplc="04240003">
      <w:start w:val="1"/>
      <w:numFmt w:val="bullet"/>
      <w:lvlText w:val="o"/>
      <w:lvlJc w:val="left"/>
      <w:pPr>
        <w:ind w:left="4314" w:hanging="360"/>
      </w:pPr>
      <w:rPr>
        <w:rFonts w:ascii="Courier New" w:hAnsi="Courier New" w:cs="Courier New" w:hint="default"/>
      </w:rPr>
    </w:lvl>
    <w:lvl w:ilvl="5" w:tplc="04240005">
      <w:start w:val="1"/>
      <w:numFmt w:val="bullet"/>
      <w:lvlText w:val=""/>
      <w:lvlJc w:val="left"/>
      <w:pPr>
        <w:ind w:left="5034" w:hanging="360"/>
      </w:pPr>
      <w:rPr>
        <w:rFonts w:ascii="Wingdings" w:hAnsi="Wingdings" w:hint="default"/>
      </w:rPr>
    </w:lvl>
    <w:lvl w:ilvl="6" w:tplc="04240001">
      <w:start w:val="1"/>
      <w:numFmt w:val="bullet"/>
      <w:lvlText w:val=""/>
      <w:lvlJc w:val="left"/>
      <w:pPr>
        <w:ind w:left="5754" w:hanging="360"/>
      </w:pPr>
      <w:rPr>
        <w:rFonts w:ascii="Symbol" w:hAnsi="Symbol" w:hint="default"/>
      </w:rPr>
    </w:lvl>
    <w:lvl w:ilvl="7" w:tplc="04240003">
      <w:start w:val="1"/>
      <w:numFmt w:val="bullet"/>
      <w:lvlText w:val="o"/>
      <w:lvlJc w:val="left"/>
      <w:pPr>
        <w:ind w:left="6474" w:hanging="360"/>
      </w:pPr>
      <w:rPr>
        <w:rFonts w:ascii="Courier New" w:hAnsi="Courier New" w:cs="Courier New" w:hint="default"/>
      </w:rPr>
    </w:lvl>
    <w:lvl w:ilvl="8" w:tplc="04240005">
      <w:start w:val="1"/>
      <w:numFmt w:val="bullet"/>
      <w:lvlText w:val=""/>
      <w:lvlJc w:val="left"/>
      <w:pPr>
        <w:ind w:left="7194" w:hanging="360"/>
      </w:pPr>
      <w:rPr>
        <w:rFonts w:ascii="Wingdings" w:hAnsi="Wingdings" w:hint="default"/>
      </w:rPr>
    </w:lvl>
  </w:abstractNum>
  <w:abstractNum w:abstractNumId="5" w15:restartNumberingAfterBreak="0">
    <w:nsid w:val="28132DB9"/>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6" w15:restartNumberingAfterBreak="0">
    <w:nsid w:val="2BB217AB"/>
    <w:multiLevelType w:val="hybridMultilevel"/>
    <w:tmpl w:val="A8B0E7DC"/>
    <w:lvl w:ilvl="0" w:tplc="89089560">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FB5B48"/>
    <w:multiLevelType w:val="hybridMultilevel"/>
    <w:tmpl w:val="2F2AD330"/>
    <w:lvl w:ilvl="0" w:tplc="04240019">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8" w15:restartNumberingAfterBreak="0">
    <w:nsid w:val="33586413"/>
    <w:multiLevelType w:val="hybridMultilevel"/>
    <w:tmpl w:val="7EC6EAFA"/>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9" w15:restartNumberingAfterBreak="0">
    <w:nsid w:val="33B32A2D"/>
    <w:multiLevelType w:val="hybridMultilevel"/>
    <w:tmpl w:val="E32244E0"/>
    <w:lvl w:ilvl="0" w:tplc="04240001">
      <w:start w:val="1"/>
      <w:numFmt w:val="bullet"/>
      <w:lvlText w:val=""/>
      <w:lvlJc w:val="left"/>
      <w:pPr>
        <w:ind w:left="1429" w:hanging="360"/>
      </w:pPr>
      <w:rPr>
        <w:rFonts w:ascii="Symbol" w:hAnsi="Symbol" w:hint="default"/>
      </w:rPr>
    </w:lvl>
    <w:lvl w:ilvl="1" w:tplc="04240003">
      <w:start w:val="1"/>
      <w:numFmt w:val="bullet"/>
      <w:lvlText w:val="o"/>
      <w:lvlJc w:val="left"/>
      <w:pPr>
        <w:ind w:left="2149" w:hanging="360"/>
      </w:pPr>
      <w:rPr>
        <w:rFonts w:ascii="Courier New" w:hAnsi="Courier New" w:cs="Courier New" w:hint="default"/>
      </w:rPr>
    </w:lvl>
    <w:lvl w:ilvl="2" w:tplc="04240005">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start w:val="1"/>
      <w:numFmt w:val="bullet"/>
      <w:lvlText w:val="o"/>
      <w:lvlJc w:val="left"/>
      <w:pPr>
        <w:ind w:left="4309" w:hanging="360"/>
      </w:pPr>
      <w:rPr>
        <w:rFonts w:ascii="Courier New" w:hAnsi="Courier New" w:cs="Courier New" w:hint="default"/>
      </w:rPr>
    </w:lvl>
    <w:lvl w:ilvl="5" w:tplc="04240005">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start w:val="1"/>
      <w:numFmt w:val="bullet"/>
      <w:lvlText w:val="o"/>
      <w:lvlJc w:val="left"/>
      <w:pPr>
        <w:ind w:left="6469" w:hanging="360"/>
      </w:pPr>
      <w:rPr>
        <w:rFonts w:ascii="Courier New" w:hAnsi="Courier New" w:cs="Courier New" w:hint="default"/>
      </w:rPr>
    </w:lvl>
    <w:lvl w:ilvl="8" w:tplc="04240005">
      <w:start w:val="1"/>
      <w:numFmt w:val="bullet"/>
      <w:lvlText w:val=""/>
      <w:lvlJc w:val="left"/>
      <w:pPr>
        <w:ind w:left="7189" w:hanging="360"/>
      </w:pPr>
      <w:rPr>
        <w:rFonts w:ascii="Wingdings" w:hAnsi="Wingdings" w:hint="default"/>
      </w:rPr>
    </w:lvl>
  </w:abstractNum>
  <w:abstractNum w:abstractNumId="10" w15:restartNumberingAfterBreak="0">
    <w:nsid w:val="38E73CEE"/>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1" w15:restartNumberingAfterBreak="0">
    <w:nsid w:val="422E2AF2"/>
    <w:multiLevelType w:val="hybridMultilevel"/>
    <w:tmpl w:val="2FFA1118"/>
    <w:lvl w:ilvl="0" w:tplc="0424000F">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19">
      <w:start w:val="1"/>
      <w:numFmt w:val="lowerLetter"/>
      <w:lvlText w:val="%2."/>
      <w:lvlJc w:val="left"/>
      <w:pPr>
        <w:ind w:left="938" w:hanging="360"/>
      </w:pPr>
    </w:lvl>
    <w:lvl w:ilvl="2" w:tplc="0424001B">
      <w:start w:val="1"/>
      <w:numFmt w:val="lowerRoman"/>
      <w:lvlText w:val="%3."/>
      <w:lvlJc w:val="right"/>
      <w:pPr>
        <w:ind w:left="1658" w:hanging="180"/>
      </w:pPr>
    </w:lvl>
    <w:lvl w:ilvl="3" w:tplc="0424000F">
      <w:start w:val="1"/>
      <w:numFmt w:val="decimal"/>
      <w:lvlText w:val="%4."/>
      <w:lvlJc w:val="left"/>
      <w:pPr>
        <w:ind w:left="2378" w:hanging="360"/>
      </w:pPr>
    </w:lvl>
    <w:lvl w:ilvl="4" w:tplc="04240019">
      <w:start w:val="1"/>
      <w:numFmt w:val="lowerLetter"/>
      <w:lvlText w:val="%5."/>
      <w:lvlJc w:val="left"/>
      <w:pPr>
        <w:ind w:left="3098" w:hanging="360"/>
      </w:pPr>
    </w:lvl>
    <w:lvl w:ilvl="5" w:tplc="0424001B">
      <w:start w:val="1"/>
      <w:numFmt w:val="lowerRoman"/>
      <w:lvlText w:val="%6."/>
      <w:lvlJc w:val="right"/>
      <w:pPr>
        <w:ind w:left="3818" w:hanging="180"/>
      </w:pPr>
    </w:lvl>
    <w:lvl w:ilvl="6" w:tplc="0424000F">
      <w:start w:val="1"/>
      <w:numFmt w:val="decimal"/>
      <w:lvlText w:val="%7."/>
      <w:lvlJc w:val="left"/>
      <w:pPr>
        <w:ind w:left="4538" w:hanging="360"/>
      </w:pPr>
    </w:lvl>
    <w:lvl w:ilvl="7" w:tplc="04240019">
      <w:start w:val="1"/>
      <w:numFmt w:val="lowerLetter"/>
      <w:lvlText w:val="%8."/>
      <w:lvlJc w:val="left"/>
      <w:pPr>
        <w:ind w:left="5258" w:hanging="360"/>
      </w:pPr>
    </w:lvl>
    <w:lvl w:ilvl="8" w:tplc="0424001B">
      <w:start w:val="1"/>
      <w:numFmt w:val="lowerRoman"/>
      <w:lvlText w:val="%9."/>
      <w:lvlJc w:val="right"/>
      <w:pPr>
        <w:ind w:left="5978" w:hanging="180"/>
      </w:pPr>
    </w:lvl>
  </w:abstractNum>
  <w:abstractNum w:abstractNumId="12" w15:restartNumberingAfterBreak="0">
    <w:nsid w:val="61FD6868"/>
    <w:multiLevelType w:val="hybridMultilevel"/>
    <w:tmpl w:val="A15A9E74"/>
    <w:lvl w:ilvl="0" w:tplc="FD0E987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B8232CE"/>
    <w:multiLevelType w:val="hybridMultilevel"/>
    <w:tmpl w:val="0DC0FF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CF412A5"/>
    <w:multiLevelType w:val="hybridMultilevel"/>
    <w:tmpl w:val="48E00B8C"/>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5" w15:restartNumberingAfterBreak="0">
    <w:nsid w:val="6E8830B7"/>
    <w:multiLevelType w:val="hybridMultilevel"/>
    <w:tmpl w:val="5EAC7FC0"/>
    <w:lvl w:ilvl="0" w:tplc="CC3C91A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89988441">
    <w:abstractNumId w:val="1"/>
  </w:num>
  <w:num w:numId="2" w16cid:durableId="412363062">
    <w:abstractNumId w:val="0"/>
  </w:num>
  <w:num w:numId="3" w16cid:durableId="468089989">
    <w:abstractNumId w:val="6"/>
  </w:num>
  <w:num w:numId="4" w16cid:durableId="1473137779">
    <w:abstractNumId w:val="3"/>
  </w:num>
  <w:num w:numId="5" w16cid:durableId="1867408047">
    <w:abstractNumId w:val="5"/>
  </w:num>
  <w:num w:numId="6" w16cid:durableId="1176379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0440663">
    <w:abstractNumId w:val="7"/>
    <w:lvlOverride w:ilvl="0">
      <w:startOverride w:val="1"/>
    </w:lvlOverride>
    <w:lvlOverride w:ilvl="1"/>
    <w:lvlOverride w:ilvl="2"/>
    <w:lvlOverride w:ilvl="3"/>
    <w:lvlOverride w:ilvl="4"/>
    <w:lvlOverride w:ilvl="5"/>
    <w:lvlOverride w:ilvl="6"/>
    <w:lvlOverride w:ilvl="7"/>
    <w:lvlOverride w:ilvl="8"/>
  </w:num>
  <w:num w:numId="8" w16cid:durableId="1251429169">
    <w:abstractNumId w:val="4"/>
  </w:num>
  <w:num w:numId="9" w16cid:durableId="2110001722">
    <w:abstractNumId w:val="2"/>
  </w:num>
  <w:num w:numId="10" w16cid:durableId="82268583">
    <w:abstractNumId w:val="14"/>
  </w:num>
  <w:num w:numId="11" w16cid:durableId="763771613">
    <w:abstractNumId w:val="8"/>
  </w:num>
  <w:num w:numId="12" w16cid:durableId="1283918740">
    <w:abstractNumId w:val="9"/>
  </w:num>
  <w:num w:numId="13" w16cid:durableId="347996647">
    <w:abstractNumId w:val="10"/>
  </w:num>
  <w:num w:numId="14" w16cid:durableId="1402829213">
    <w:abstractNumId w:val="13"/>
  </w:num>
  <w:num w:numId="15" w16cid:durableId="1525704578">
    <w:abstractNumId w:val="15"/>
  </w:num>
  <w:num w:numId="16" w16cid:durableId="5836085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E9"/>
    <w:rsid w:val="000137D8"/>
    <w:rsid w:val="000451C8"/>
    <w:rsid w:val="000659AB"/>
    <w:rsid w:val="00072138"/>
    <w:rsid w:val="0008082E"/>
    <w:rsid w:val="00087DC3"/>
    <w:rsid w:val="000A441F"/>
    <w:rsid w:val="000D60FE"/>
    <w:rsid w:val="000E358F"/>
    <w:rsid w:val="000E6E9C"/>
    <w:rsid w:val="000F0656"/>
    <w:rsid w:val="0014145A"/>
    <w:rsid w:val="0014459F"/>
    <w:rsid w:val="00171896"/>
    <w:rsid w:val="001A2413"/>
    <w:rsid w:val="001B4A2E"/>
    <w:rsid w:val="001C2189"/>
    <w:rsid w:val="001D7724"/>
    <w:rsid w:val="001E28AC"/>
    <w:rsid w:val="001E438A"/>
    <w:rsid w:val="001F51E9"/>
    <w:rsid w:val="00227A5F"/>
    <w:rsid w:val="002647DD"/>
    <w:rsid w:val="0027501D"/>
    <w:rsid w:val="002B1629"/>
    <w:rsid w:val="002C3596"/>
    <w:rsid w:val="002D59C9"/>
    <w:rsid w:val="002E1968"/>
    <w:rsid w:val="002F28F6"/>
    <w:rsid w:val="003731BC"/>
    <w:rsid w:val="0038099E"/>
    <w:rsid w:val="00390C85"/>
    <w:rsid w:val="00394D62"/>
    <w:rsid w:val="003A6F9A"/>
    <w:rsid w:val="003B5FFF"/>
    <w:rsid w:val="003D43C4"/>
    <w:rsid w:val="003E3CDC"/>
    <w:rsid w:val="003E48A1"/>
    <w:rsid w:val="003E4CEE"/>
    <w:rsid w:val="00405263"/>
    <w:rsid w:val="004135B1"/>
    <w:rsid w:val="00430CC1"/>
    <w:rsid w:val="0045154F"/>
    <w:rsid w:val="004D0094"/>
    <w:rsid w:val="004F30B9"/>
    <w:rsid w:val="004F3813"/>
    <w:rsid w:val="004F7646"/>
    <w:rsid w:val="00512473"/>
    <w:rsid w:val="005163D7"/>
    <w:rsid w:val="00565045"/>
    <w:rsid w:val="00593F82"/>
    <w:rsid w:val="00594DD2"/>
    <w:rsid w:val="0059766B"/>
    <w:rsid w:val="005C199C"/>
    <w:rsid w:val="005D1EDF"/>
    <w:rsid w:val="005E6A8B"/>
    <w:rsid w:val="00607585"/>
    <w:rsid w:val="00614ACE"/>
    <w:rsid w:val="0062055D"/>
    <w:rsid w:val="0062099F"/>
    <w:rsid w:val="0062282A"/>
    <w:rsid w:val="00624B4B"/>
    <w:rsid w:val="006261CF"/>
    <w:rsid w:val="00635D42"/>
    <w:rsid w:val="00692020"/>
    <w:rsid w:val="00694EC3"/>
    <w:rsid w:val="006B28F6"/>
    <w:rsid w:val="007230BA"/>
    <w:rsid w:val="007311DE"/>
    <w:rsid w:val="00733719"/>
    <w:rsid w:val="0073792A"/>
    <w:rsid w:val="007529CA"/>
    <w:rsid w:val="007568F4"/>
    <w:rsid w:val="007808C4"/>
    <w:rsid w:val="0078584A"/>
    <w:rsid w:val="007A3BE4"/>
    <w:rsid w:val="007A6AE9"/>
    <w:rsid w:val="007B6600"/>
    <w:rsid w:val="007C4C18"/>
    <w:rsid w:val="007E5D20"/>
    <w:rsid w:val="00842C07"/>
    <w:rsid w:val="00850857"/>
    <w:rsid w:val="00856E9D"/>
    <w:rsid w:val="008E637D"/>
    <w:rsid w:val="008F3F8F"/>
    <w:rsid w:val="008F4AC8"/>
    <w:rsid w:val="00915A1F"/>
    <w:rsid w:val="00921764"/>
    <w:rsid w:val="00945904"/>
    <w:rsid w:val="00947019"/>
    <w:rsid w:val="009636B2"/>
    <w:rsid w:val="00970C05"/>
    <w:rsid w:val="00975D36"/>
    <w:rsid w:val="00990427"/>
    <w:rsid w:val="00992187"/>
    <w:rsid w:val="009C248B"/>
    <w:rsid w:val="009F131F"/>
    <w:rsid w:val="009F5A6E"/>
    <w:rsid w:val="009F7970"/>
    <w:rsid w:val="00A06088"/>
    <w:rsid w:val="00A240A2"/>
    <w:rsid w:val="00A4173B"/>
    <w:rsid w:val="00A82CCB"/>
    <w:rsid w:val="00A84C2D"/>
    <w:rsid w:val="00A95F75"/>
    <w:rsid w:val="00AB7573"/>
    <w:rsid w:val="00AB7F71"/>
    <w:rsid w:val="00AC2D1F"/>
    <w:rsid w:val="00AD6921"/>
    <w:rsid w:val="00AD77F5"/>
    <w:rsid w:val="00AE7CA5"/>
    <w:rsid w:val="00B21A44"/>
    <w:rsid w:val="00B41A74"/>
    <w:rsid w:val="00B47D03"/>
    <w:rsid w:val="00B500C0"/>
    <w:rsid w:val="00B605B3"/>
    <w:rsid w:val="00B7573D"/>
    <w:rsid w:val="00BA0B09"/>
    <w:rsid w:val="00BC16A2"/>
    <w:rsid w:val="00BD0E28"/>
    <w:rsid w:val="00BD4484"/>
    <w:rsid w:val="00BF55B1"/>
    <w:rsid w:val="00C02021"/>
    <w:rsid w:val="00C06442"/>
    <w:rsid w:val="00C35322"/>
    <w:rsid w:val="00C46D94"/>
    <w:rsid w:val="00C55A0E"/>
    <w:rsid w:val="00C66F41"/>
    <w:rsid w:val="00C71901"/>
    <w:rsid w:val="00C77A38"/>
    <w:rsid w:val="00CA583C"/>
    <w:rsid w:val="00CB4E33"/>
    <w:rsid w:val="00CC1590"/>
    <w:rsid w:val="00CD4C02"/>
    <w:rsid w:val="00CE24E4"/>
    <w:rsid w:val="00D408F3"/>
    <w:rsid w:val="00DA2337"/>
    <w:rsid w:val="00DA6DFA"/>
    <w:rsid w:val="00DB14AC"/>
    <w:rsid w:val="00DD168B"/>
    <w:rsid w:val="00DE006F"/>
    <w:rsid w:val="00DE4228"/>
    <w:rsid w:val="00DF1130"/>
    <w:rsid w:val="00E17973"/>
    <w:rsid w:val="00E53DBC"/>
    <w:rsid w:val="00E70D90"/>
    <w:rsid w:val="00E84360"/>
    <w:rsid w:val="00E94874"/>
    <w:rsid w:val="00EA172B"/>
    <w:rsid w:val="00EA6A40"/>
    <w:rsid w:val="00EB67D2"/>
    <w:rsid w:val="00EC46ED"/>
    <w:rsid w:val="00ED2B37"/>
    <w:rsid w:val="00EE7738"/>
    <w:rsid w:val="00EF221A"/>
    <w:rsid w:val="00F200CB"/>
    <w:rsid w:val="00F20F75"/>
    <w:rsid w:val="00F6421A"/>
    <w:rsid w:val="00F82E97"/>
    <w:rsid w:val="00F90CB8"/>
    <w:rsid w:val="00F94033"/>
    <w:rsid w:val="00FB3715"/>
    <w:rsid w:val="00FB38EF"/>
    <w:rsid w:val="00FE47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5A52DA7"/>
  <w15:docId w15:val="{7FA729D6-E148-4003-92E1-2DA7889B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35D42"/>
    <w:pPr>
      <w:tabs>
        <w:tab w:val="left" w:pos="5670"/>
      </w:tabs>
      <w:spacing w:line="240" w:lineRule="exact"/>
      <w:jc w:val="both"/>
    </w:pPr>
    <w:rPr>
      <w:sz w:val="22"/>
      <w:szCs w:val="22"/>
      <w:lang w:eastAsia="en-US"/>
    </w:rPr>
  </w:style>
  <w:style w:type="paragraph" w:styleId="Naslov1">
    <w:name w:val="heading 1"/>
    <w:basedOn w:val="Navaden"/>
    <w:link w:val="Naslov1Znak"/>
    <w:uiPriority w:val="9"/>
    <w:qFormat/>
    <w:rsid w:val="00E17973"/>
    <w:pPr>
      <w:tabs>
        <w:tab w:val="clear" w:pos="5670"/>
      </w:tabs>
      <w:spacing w:before="100" w:beforeAutospacing="1" w:after="100" w:afterAutospacing="1" w:line="240" w:lineRule="auto"/>
      <w:jc w:val="left"/>
      <w:outlineLvl w:val="0"/>
    </w:pPr>
    <w:rPr>
      <w:rFonts w:ascii="Times New Roman" w:eastAsia="Times New Roman" w:hAnsi="Times New Roman"/>
      <w:b/>
      <w:bCs/>
      <w:color w:val="000000"/>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Telobesedila2">
    <w:name w:val="Body Text 2"/>
    <w:basedOn w:val="Navaden"/>
    <w:link w:val="Telobesedila2Znak"/>
    <w:semiHidden/>
    <w:rsid w:val="001B4A2E"/>
    <w:pPr>
      <w:tabs>
        <w:tab w:val="clear" w:pos="5670"/>
        <w:tab w:val="left" w:pos="0"/>
        <w:tab w:val="left" w:pos="720"/>
        <w:tab w:val="left" w:pos="1440"/>
        <w:tab w:val="left" w:pos="2160"/>
        <w:tab w:val="left" w:pos="2880"/>
        <w:tab w:val="left" w:pos="3600"/>
        <w:tab w:val="left" w:pos="4320"/>
      </w:tabs>
      <w:spacing w:line="240" w:lineRule="atLeast"/>
      <w:jc w:val="center"/>
    </w:pPr>
    <w:rPr>
      <w:rFonts w:ascii="Times New Roman" w:eastAsia="Times New Roman" w:hAnsi="Times New Roman"/>
      <w:b/>
      <w:color w:val="000000"/>
      <w:sz w:val="28"/>
      <w:szCs w:val="20"/>
      <w:lang w:eastAsia="sl-SI"/>
    </w:rPr>
  </w:style>
  <w:style w:type="character" w:customStyle="1" w:styleId="Telobesedila2Znak">
    <w:name w:val="Telo besedila 2 Znak"/>
    <w:basedOn w:val="Privzetapisavaodstavka"/>
    <w:link w:val="Telobesedila2"/>
    <w:semiHidden/>
    <w:rsid w:val="001B4A2E"/>
    <w:rPr>
      <w:rFonts w:ascii="Times New Roman" w:eastAsia="Times New Roman" w:hAnsi="Times New Roman"/>
      <w:b/>
      <w:color w:val="000000"/>
      <w:sz w:val="28"/>
    </w:rPr>
  </w:style>
  <w:style w:type="paragraph" w:styleId="Telobesedila">
    <w:name w:val="Body Text"/>
    <w:basedOn w:val="Navaden"/>
    <w:link w:val="TelobesedilaZnak"/>
    <w:uiPriority w:val="99"/>
    <w:semiHidden/>
    <w:unhideWhenUsed/>
    <w:rsid w:val="001B4A2E"/>
    <w:pPr>
      <w:spacing w:after="120"/>
    </w:pPr>
  </w:style>
  <w:style w:type="character" w:customStyle="1" w:styleId="TelobesedilaZnak">
    <w:name w:val="Telo besedila Znak"/>
    <w:basedOn w:val="Privzetapisavaodstavka"/>
    <w:link w:val="Telobesedila"/>
    <w:uiPriority w:val="99"/>
    <w:semiHidden/>
    <w:rsid w:val="001B4A2E"/>
    <w:rPr>
      <w:sz w:val="22"/>
      <w:szCs w:val="22"/>
      <w:lang w:eastAsia="en-US"/>
    </w:rPr>
  </w:style>
  <w:style w:type="paragraph" w:customStyle="1" w:styleId="Telobesedila1">
    <w:name w:val="Telo besedila1"/>
    <w:rsid w:val="001B4A2E"/>
    <w:pPr>
      <w:spacing w:before="120" w:line="280" w:lineRule="atLeast"/>
      <w:jc w:val="both"/>
    </w:pPr>
    <w:rPr>
      <w:rFonts w:ascii="Arial" w:eastAsia="Times New Roman" w:hAnsi="Arial"/>
      <w:snapToGrid w:val="0"/>
      <w:color w:val="000000"/>
      <w:sz w:val="22"/>
      <w:szCs w:val="22"/>
    </w:rPr>
  </w:style>
  <w:style w:type="paragraph" w:customStyle="1" w:styleId="Telobesedila20">
    <w:name w:val="Telo besedila2"/>
    <w:rsid w:val="001B4A2E"/>
    <w:pPr>
      <w:spacing w:before="120" w:line="280" w:lineRule="atLeast"/>
      <w:jc w:val="both"/>
    </w:pPr>
    <w:rPr>
      <w:rFonts w:ascii="Arial" w:eastAsia="Times New Roman" w:hAnsi="Arial"/>
      <w:snapToGrid w:val="0"/>
      <w:color w:val="000000"/>
      <w:sz w:val="22"/>
      <w:szCs w:val="22"/>
    </w:rPr>
  </w:style>
  <w:style w:type="paragraph" w:styleId="Sprotnaopomba-besedilo">
    <w:name w:val="footnote text"/>
    <w:basedOn w:val="Navaden"/>
    <w:link w:val="Sprotnaopomba-besediloZnak"/>
    <w:semiHidden/>
    <w:rsid w:val="00850857"/>
    <w:pPr>
      <w:tabs>
        <w:tab w:val="clear" w:pos="5670"/>
      </w:tabs>
      <w:spacing w:line="240" w:lineRule="auto"/>
      <w:jc w:val="left"/>
    </w:pPr>
    <w:rPr>
      <w:rFonts w:ascii="Times New Roman CE SLO" w:eastAsia="Times New Roman" w:hAnsi="Times New Roman CE SLO"/>
      <w:sz w:val="20"/>
      <w:szCs w:val="20"/>
      <w:lang w:val="x-none" w:eastAsia="x-none"/>
    </w:rPr>
  </w:style>
  <w:style w:type="character" w:customStyle="1" w:styleId="Sprotnaopomba-besediloZnak">
    <w:name w:val="Sprotna opomba - besedilo Znak"/>
    <w:basedOn w:val="Privzetapisavaodstavka"/>
    <w:link w:val="Sprotnaopomba-besedilo"/>
    <w:semiHidden/>
    <w:rsid w:val="00850857"/>
    <w:rPr>
      <w:rFonts w:ascii="Times New Roman CE SLO" w:eastAsia="Times New Roman" w:hAnsi="Times New Roman CE SLO"/>
      <w:lang w:val="x-none" w:eastAsia="x-none"/>
    </w:rPr>
  </w:style>
  <w:style w:type="character" w:styleId="Sprotnaopomba-sklic">
    <w:name w:val="footnote reference"/>
    <w:semiHidden/>
    <w:rsid w:val="00850857"/>
    <w:rPr>
      <w:vertAlign w:val="superscript"/>
    </w:rPr>
  </w:style>
  <w:style w:type="paragraph" w:customStyle="1" w:styleId="BodyTextIndent22">
    <w:name w:val="Body Text Indent 22"/>
    <w:basedOn w:val="Navaden"/>
    <w:rsid w:val="00850857"/>
    <w:pPr>
      <w:tabs>
        <w:tab w:val="clear" w:pos="5670"/>
      </w:tabs>
      <w:spacing w:line="24" w:lineRule="atLeast"/>
      <w:ind w:firstLine="180"/>
    </w:pPr>
    <w:rPr>
      <w:rFonts w:ascii="Bookman Old Style" w:eastAsia="Times New Roman" w:hAnsi="Bookman Old Style"/>
      <w:szCs w:val="20"/>
      <w:lang w:eastAsia="sl-SI"/>
    </w:rPr>
  </w:style>
  <w:style w:type="paragraph" w:styleId="Odstavekseznama">
    <w:name w:val="List Paragraph"/>
    <w:basedOn w:val="Navaden"/>
    <w:uiPriority w:val="34"/>
    <w:qFormat/>
    <w:rsid w:val="00850857"/>
    <w:pPr>
      <w:tabs>
        <w:tab w:val="clear" w:pos="5670"/>
      </w:tabs>
      <w:spacing w:line="240" w:lineRule="auto"/>
      <w:ind w:left="720"/>
      <w:contextualSpacing/>
      <w:jc w:val="left"/>
    </w:pPr>
    <w:rPr>
      <w:rFonts w:ascii="Times New Roman" w:eastAsia="Times New Roman" w:hAnsi="Times New Roman"/>
      <w:sz w:val="20"/>
      <w:szCs w:val="20"/>
      <w:lang w:eastAsia="sl-SI"/>
    </w:rPr>
  </w:style>
  <w:style w:type="character" w:customStyle="1" w:styleId="Naslov1Znak">
    <w:name w:val="Naslov 1 Znak"/>
    <w:basedOn w:val="Privzetapisavaodstavka"/>
    <w:link w:val="Naslov1"/>
    <w:uiPriority w:val="9"/>
    <w:rsid w:val="00E17973"/>
    <w:rPr>
      <w:rFonts w:ascii="Times New Roman" w:eastAsia="Times New Roman" w:hAnsi="Times New Roman"/>
      <w:b/>
      <w:bCs/>
      <w:color w:val="000000"/>
      <w:kern w:val="36"/>
      <w:sz w:val="48"/>
      <w:szCs w:val="48"/>
    </w:rPr>
  </w:style>
  <w:style w:type="character" w:customStyle="1" w:styleId="BrezrazmikovZnak">
    <w:name w:val="Brez razmikov Znak"/>
    <w:link w:val="Brezrazmikov"/>
    <w:uiPriority w:val="1"/>
    <w:locked/>
    <w:rsid w:val="00E17973"/>
    <w:rPr>
      <w:rFonts w:eastAsia="Times New Roman"/>
    </w:rPr>
  </w:style>
  <w:style w:type="paragraph" w:styleId="Brezrazmikov">
    <w:name w:val="No Spacing"/>
    <w:link w:val="BrezrazmikovZnak"/>
    <w:uiPriority w:val="1"/>
    <w:qFormat/>
    <w:rsid w:val="00E17973"/>
    <w:pPr>
      <w:jc w:val="both"/>
    </w:pPr>
    <w:rPr>
      <w:rFonts w:eastAsia="Times New Roman"/>
    </w:rPr>
  </w:style>
  <w:style w:type="character" w:customStyle="1" w:styleId="OdstavekZnak">
    <w:name w:val="Odstavek Znak"/>
    <w:link w:val="Odstavek"/>
    <w:locked/>
    <w:rsid w:val="00E17973"/>
    <w:rPr>
      <w:rFonts w:ascii="Arial" w:eastAsia="Times New Roman" w:hAnsi="Arial"/>
      <w:lang w:val="x-none" w:eastAsia="x-none"/>
    </w:rPr>
  </w:style>
  <w:style w:type="paragraph" w:customStyle="1" w:styleId="Odstavek">
    <w:name w:val="Odstavek"/>
    <w:basedOn w:val="Navaden"/>
    <w:link w:val="OdstavekZnak"/>
    <w:qFormat/>
    <w:rsid w:val="00E17973"/>
    <w:pPr>
      <w:tabs>
        <w:tab w:val="clear" w:pos="5670"/>
      </w:tabs>
      <w:overflowPunct w:val="0"/>
      <w:autoSpaceDE w:val="0"/>
      <w:autoSpaceDN w:val="0"/>
      <w:adjustRightInd w:val="0"/>
      <w:spacing w:before="240" w:line="240" w:lineRule="auto"/>
      <w:ind w:firstLine="1021"/>
    </w:pPr>
    <w:rPr>
      <w:rFonts w:ascii="Arial" w:eastAsia="Times New Roman" w:hAnsi="Arial"/>
      <w:sz w:val="20"/>
      <w:szCs w:val="20"/>
      <w:lang w:val="x-none" w:eastAsia="x-none"/>
    </w:rPr>
  </w:style>
  <w:style w:type="paragraph" w:customStyle="1" w:styleId="Bodyleftbold">
    <w:name w:val="Body left bold"/>
    <w:basedOn w:val="Telobesedila1"/>
    <w:rsid w:val="00C02021"/>
    <w:pPr>
      <w:spacing w:before="113"/>
    </w:pPr>
    <w:rPr>
      <w:b/>
      <w:color w:val="auto"/>
    </w:rPr>
  </w:style>
  <w:style w:type="paragraph" w:customStyle="1" w:styleId="Subhead1">
    <w:name w:val="Subhead 1"/>
    <w:rsid w:val="00C02021"/>
    <w:pPr>
      <w:keepNext/>
      <w:tabs>
        <w:tab w:val="left" w:pos="850"/>
      </w:tabs>
      <w:spacing w:before="425" w:after="170"/>
      <w:ind w:left="851" w:hanging="851"/>
    </w:pPr>
    <w:rPr>
      <w:rFonts w:ascii="Tahoma" w:eastAsia="Times New Roman" w:hAnsi="Tahoma"/>
      <w:b/>
      <w:snapToGrid w:val="0"/>
      <w:sz w:val="36"/>
      <w:szCs w:val="36"/>
    </w:rPr>
  </w:style>
  <w:style w:type="paragraph" w:customStyle="1" w:styleId="Telobesedila-zamik21">
    <w:name w:val="Telo besedila - zamik 21"/>
    <w:basedOn w:val="Navaden"/>
    <w:rsid w:val="00B605B3"/>
    <w:pPr>
      <w:tabs>
        <w:tab w:val="clear" w:pos="5670"/>
      </w:tabs>
      <w:spacing w:line="240" w:lineRule="auto"/>
      <w:ind w:firstLine="284"/>
    </w:pPr>
    <w:rPr>
      <w:rFonts w:ascii="Bookman Old Style" w:eastAsia="Times New Roman" w:hAnsi="Bookman Old Style"/>
      <w:szCs w:val="20"/>
      <w:lang w:eastAsia="sl-SI"/>
    </w:rPr>
  </w:style>
  <w:style w:type="paragraph" w:customStyle="1" w:styleId="p-marked">
    <w:name w:val="p-marked"/>
    <w:basedOn w:val="Navaden"/>
    <w:rsid w:val="00B605B3"/>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 w:id="57147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0F9E1-326B-4E65-9449-C262EA8B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1982</Words>
  <Characters>11298</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13254</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 Perhavec</dc:creator>
  <cp:lastModifiedBy>Damjan Kos</cp:lastModifiedBy>
  <cp:revision>4</cp:revision>
  <cp:lastPrinted>2024-01-22T14:10:00Z</cp:lastPrinted>
  <dcterms:created xsi:type="dcterms:W3CDTF">2025-01-22T08:15:00Z</dcterms:created>
  <dcterms:modified xsi:type="dcterms:W3CDTF">2025-01-22T08:47:00Z</dcterms:modified>
</cp:coreProperties>
</file>